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60E2" w:rsidRPr="00F660E2" w:rsidRDefault="00F660E2" w:rsidP="00F660E2">
      <w:pPr>
        <w:rPr>
          <w:szCs w:val="28"/>
          <w:lang w:eastAsia="es-PE"/>
        </w:rPr>
      </w:pPr>
      <w:r w:rsidRPr="00F660E2">
        <w:rPr>
          <w:szCs w:val="28"/>
          <w:lang w:eastAsia="es-PE"/>
        </w:rPr>
        <w:t>Introduction</w:t>
      </w:r>
    </w:p>
    <w:p w:rsidR="00F660E2" w:rsidRPr="00F660E2" w:rsidRDefault="00F660E2" w:rsidP="00F660E2">
      <w:pPr>
        <w:rPr>
          <w:szCs w:val="28"/>
          <w:lang w:eastAsia="es-PE"/>
        </w:rPr>
      </w:pPr>
      <w:r w:rsidRPr="00F660E2">
        <w:rPr>
          <w:szCs w:val="28"/>
          <w:lang w:eastAsia="es-PE"/>
        </w:rPr>
        <w:t>Martin Luther</w:t>
      </w:r>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By Lawrence A. Clayton</w:t>
      </w:r>
    </w:p>
    <w:p w:rsidR="00F660E2" w:rsidRPr="00F660E2" w:rsidRDefault="00F660E2" w:rsidP="00F660E2">
      <w:pPr>
        <w:rPr>
          <w:szCs w:val="28"/>
          <w:lang w:eastAsia="es-PE"/>
        </w:rPr>
      </w:pPr>
    </w:p>
    <w:p w:rsidR="00F660E2" w:rsidRPr="00F660E2" w:rsidRDefault="00F660E2" w:rsidP="00F660E2">
      <w:pPr>
        <w:rPr>
          <w:iCs/>
          <w:szCs w:val="28"/>
          <w:lang w:eastAsia="es-PE"/>
        </w:rPr>
      </w:pPr>
    </w:p>
    <w:p w:rsidR="00F660E2" w:rsidRPr="00F660E2" w:rsidRDefault="00F660E2" w:rsidP="00F660E2">
      <w:pPr>
        <w:rPr>
          <w:szCs w:val="28"/>
          <w:lang w:eastAsia="es-PE"/>
        </w:rPr>
      </w:pPr>
      <w:r w:rsidRPr="00F660E2">
        <w:rPr>
          <w:szCs w:val="28"/>
          <w:lang w:eastAsia="es-PE"/>
        </w:rPr>
        <w:t>In 2017 the world celebrated the 500th year anniversary of the one act that did more to kick off the Protestant Reformation than any other in history. On October 31, 1517, the Augustinian friar Martin Luther pinned to the church door at Wittenberg, Germany, ninety-five complaints against certain Roman Catholic Church practices. He really didn’t expect the firestorm that followed. But, this action led to the establishment of the modern Protestant denominations, like the Presbyterians, Baptists, Pentecostals and dozens of others who broke off from the Roman Catholic Church and changed the course of Christianity dramatically.</w:t>
      </w:r>
    </w:p>
    <w:p w:rsidR="00F660E2" w:rsidRPr="00F660E2" w:rsidRDefault="00F660E2" w:rsidP="00F660E2">
      <w:pPr>
        <w:rPr>
          <w:szCs w:val="28"/>
          <w:lang w:eastAsia="es-PE"/>
        </w:rPr>
      </w:pPr>
      <w:r w:rsidRPr="00F660E2">
        <w:rPr>
          <w:szCs w:val="28"/>
          <w:lang w:eastAsia="es-PE"/>
        </w:rPr>
        <w:t>Luther</w:t>
      </w:r>
      <w:r w:rsidRPr="00F660E2">
        <w:rPr>
          <w:szCs w:val="28"/>
          <w:vertAlign w:val="superscript"/>
          <w:lang w:val="es-PE" w:eastAsia="es-PE"/>
        </w:rPr>
        <w:footnoteReference w:id="1"/>
      </w:r>
      <w:r w:rsidRPr="00F660E2">
        <w:rPr>
          <w:szCs w:val="28"/>
          <w:lang w:eastAsia="es-PE"/>
        </w:rPr>
        <w:t xml:space="preserve"> was a priest and as a member of the Augustinian Order was both a monk as well as priest. He most probably never meant for his criticism of certain Church practices and the worldly condition of the Church itself to lead to the radical schism that the Reformation produced in the decades following the posting of his Ninety-Five Theses. He really meant just to reach his fellow clerics, both low but especially high ranked, with his thoughts and criticisms, much like a politician in public office, from the city level all the way to the national level (Congress for example) criticizes his opponents or the “system” as it is then working. He is not espousing junking the Constitution for example and rewriting or restructuring the entire apparatus of government. That would be tantamount to a revolution, and we’ve only had one of those in 1776. </w:t>
      </w:r>
    </w:p>
    <w:p w:rsidR="00F660E2" w:rsidRPr="00F660E2" w:rsidRDefault="00F660E2" w:rsidP="00F660E2">
      <w:pPr>
        <w:rPr>
          <w:szCs w:val="28"/>
          <w:lang w:eastAsia="es-PE"/>
        </w:rPr>
      </w:pPr>
      <w:r w:rsidRPr="00F660E2">
        <w:rPr>
          <w:szCs w:val="28"/>
          <w:lang w:eastAsia="es-PE"/>
        </w:rPr>
        <w:t>Another major factor was at work here as well that one needs to note. Luther was a German, living within the duchy (check this) of the Elector of Saxony.</w:t>
      </w:r>
      <w:r w:rsidRPr="00F660E2">
        <w:rPr>
          <w:szCs w:val="28"/>
          <w:vertAlign w:val="superscript"/>
          <w:lang w:val="es-PE" w:eastAsia="es-PE"/>
        </w:rPr>
        <w:footnoteReference w:id="2"/>
      </w:r>
      <w:r w:rsidRPr="00F660E2">
        <w:rPr>
          <w:szCs w:val="28"/>
          <w:lang w:eastAsia="es-PE"/>
        </w:rPr>
        <w:t xml:space="preserve"> In short, German nationalism was on the rise and many Germans objected to the long hand of Rome and the largely Italian Papacy reaching into German pockets. It is a complex </w:t>
      </w:r>
      <w:r w:rsidRPr="00F660E2">
        <w:rPr>
          <w:szCs w:val="28"/>
          <w:lang w:eastAsia="es-PE"/>
        </w:rPr>
        <w:lastRenderedPageBreak/>
        <w:t xml:space="preserve">subject which transcends the disputes within the Catholic church between the establishment in Rome, largely governed by the Pope of course, and the many expressions of the Church’s power and influence in not only Germany, but also England and France and elsewhere throughout Europe for example. </w:t>
      </w:r>
    </w:p>
    <w:p w:rsidR="00F660E2" w:rsidRPr="00F660E2" w:rsidRDefault="00F660E2" w:rsidP="00F660E2">
      <w:pPr>
        <w:rPr>
          <w:szCs w:val="28"/>
          <w:lang w:eastAsia="es-PE"/>
        </w:rPr>
      </w:pPr>
      <w:r w:rsidRPr="00F660E2">
        <w:rPr>
          <w:szCs w:val="28"/>
          <w:lang w:eastAsia="es-PE"/>
        </w:rPr>
        <w:t xml:space="preserve">But first we need to set the stage. Who was Luther? </w:t>
      </w:r>
    </w:p>
    <w:p w:rsidR="00F660E2" w:rsidRPr="00F660E2" w:rsidRDefault="00F660E2" w:rsidP="00F660E2">
      <w:pPr>
        <w:rPr>
          <w:szCs w:val="28"/>
          <w:lang w:eastAsia="es-PE"/>
        </w:rPr>
      </w:pPr>
      <w:r w:rsidRPr="00F660E2">
        <w:rPr>
          <w:szCs w:val="28"/>
          <w:lang w:eastAsia="es-PE"/>
        </w:rPr>
        <w:t>His biography is relatively well known.</w:t>
      </w:r>
    </w:p>
    <w:p w:rsidR="00F660E2" w:rsidRPr="00F660E2" w:rsidRDefault="00F660E2" w:rsidP="00F660E2">
      <w:pPr>
        <w:rPr>
          <w:szCs w:val="28"/>
          <w:lang w:eastAsia="es-PE"/>
        </w:rPr>
      </w:pPr>
    </w:p>
    <w:p w:rsidR="00F660E2" w:rsidRPr="00F660E2" w:rsidRDefault="00F660E2" w:rsidP="00F660E2">
      <w:pPr>
        <w:rPr>
          <w:rFonts w:eastAsiaTheme="majorEastAsia" w:cstheme="majorBidi"/>
          <w:szCs w:val="28"/>
          <w:lang w:eastAsia="es-PE"/>
        </w:rPr>
      </w:pPr>
      <w:r w:rsidRPr="00F660E2">
        <w:rPr>
          <w:rFonts w:eastAsiaTheme="majorEastAsia" w:cstheme="majorBidi"/>
          <w:szCs w:val="28"/>
          <w:lang w:eastAsia="es-PE"/>
        </w:rPr>
        <w:t>Birth and Education</w:t>
      </w:r>
      <w:r w:rsidRPr="00F660E2">
        <w:rPr>
          <w:rFonts w:eastAsiaTheme="majorEastAsia" w:cstheme="majorBidi"/>
          <w:szCs w:val="28"/>
          <w:vertAlign w:val="superscript"/>
          <w:lang w:val="es-PE" w:eastAsia="es-PE"/>
        </w:rPr>
        <w:footnoteReference w:id="3"/>
      </w:r>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 xml:space="preserve">Martin Luther was born on 10 November 1483 in </w:t>
      </w:r>
      <w:hyperlink r:id="rId6" w:tooltip="Eisleben" w:history="1">
        <w:r w:rsidRPr="00F660E2">
          <w:rPr>
            <w:rFonts w:eastAsiaTheme="majorEastAsia"/>
            <w:szCs w:val="28"/>
            <w:lang w:eastAsia="es-PE"/>
          </w:rPr>
          <w:t>Eisleben</w:t>
        </w:r>
      </w:hyperlink>
      <w:r w:rsidRPr="00F660E2">
        <w:rPr>
          <w:szCs w:val="28"/>
          <w:lang w:eastAsia="es-PE"/>
        </w:rPr>
        <w:t xml:space="preserve">, Saxony, then part of the </w:t>
      </w:r>
      <w:hyperlink r:id="rId7" w:tooltip="Holy Roman Empire" w:history="1">
        <w:r w:rsidRPr="00F660E2">
          <w:rPr>
            <w:rFonts w:eastAsiaTheme="majorEastAsia"/>
            <w:szCs w:val="28"/>
            <w:lang w:eastAsia="es-PE"/>
          </w:rPr>
          <w:t>Holy Roman Empire</w:t>
        </w:r>
      </w:hyperlink>
      <w:r w:rsidRPr="00F660E2">
        <w:rPr>
          <w:szCs w:val="28"/>
          <w:lang w:eastAsia="es-PE"/>
        </w:rPr>
        <w:t xml:space="preserve">, and part of Germany. He was of course born into the Roman Catholic Church and as such was soon baptized. His father Hans Luther was a leaseholder of copper mines and smelters and served as one of four citizen representatives on the local council. Luther’s father was an ambitious man and wanted Martin, his eldest son, to become a lawyer and bring prominence to the family. </w:t>
      </w:r>
    </w:p>
    <w:p w:rsidR="00F660E2" w:rsidRPr="00F660E2" w:rsidRDefault="00F660E2" w:rsidP="00F660E2">
      <w:pPr>
        <w:rPr>
          <w:szCs w:val="28"/>
          <w:lang w:eastAsia="es-PE"/>
        </w:rPr>
      </w:pPr>
      <w:r w:rsidRPr="00F660E2">
        <w:rPr>
          <w:szCs w:val="28"/>
          <w:lang w:eastAsia="es-PE"/>
        </w:rPr>
        <w:t xml:space="preserve">Good son that he was, Luther, at the age of 19, Luther enrolled at the </w:t>
      </w:r>
      <w:hyperlink r:id="rId8" w:tooltip="University of Erfurt" w:history="1">
        <w:r w:rsidRPr="00F660E2">
          <w:rPr>
            <w:rFonts w:eastAsiaTheme="majorEastAsia"/>
            <w:szCs w:val="28"/>
            <w:lang w:eastAsia="es-PE"/>
          </w:rPr>
          <w:t>University of Erfurt</w:t>
        </w:r>
      </w:hyperlink>
      <w:r w:rsidRPr="00F660E2">
        <w:rPr>
          <w:rFonts w:eastAsiaTheme="majorEastAsia"/>
          <w:szCs w:val="28"/>
          <w:lang w:eastAsia="es-PE"/>
        </w:rPr>
        <w:t xml:space="preserve"> in 1501</w:t>
      </w:r>
      <w:r w:rsidRPr="00F660E2">
        <w:rPr>
          <w:szCs w:val="28"/>
          <w:lang w:eastAsia="es-PE"/>
        </w:rPr>
        <w:t xml:space="preserve">, which he later described as a beerhouse and whorehouse. He received his master's degree in 1505 </w:t>
      </w:r>
      <w:r w:rsidRPr="00F660E2">
        <w:rPr>
          <w:szCs w:val="28"/>
          <w:u w:val="single"/>
          <w:vertAlign w:val="superscript"/>
          <w:lang w:eastAsia="es-PE"/>
        </w:rPr>
        <w:t>and</w:t>
      </w:r>
      <w:r w:rsidRPr="00F660E2">
        <w:rPr>
          <w:szCs w:val="28"/>
          <w:lang w:eastAsia="es-PE"/>
        </w:rPr>
        <w:t xml:space="preserve"> presumably was on his way to becoming a lawyer and fulfilling his father’s wishes.</w:t>
      </w:r>
    </w:p>
    <w:p w:rsidR="00F660E2" w:rsidRPr="00F660E2" w:rsidRDefault="00F660E2" w:rsidP="00F660E2">
      <w:pPr>
        <w:rPr>
          <w:szCs w:val="28"/>
          <w:lang w:eastAsia="es-PE"/>
        </w:rPr>
      </w:pPr>
      <w:r w:rsidRPr="00F660E2">
        <w:rPr>
          <w:szCs w:val="28"/>
          <w:lang w:eastAsia="es-PE"/>
        </w:rPr>
        <w:t>Luther enrolled in law school at the same university that year but dropped out almost immediately, believing that law represented uncertainty. He really was driven more to Scripture and philosophy, searching for what was significant to him more than the study of law. He, in fact, was turning to God to try to understand his world, his God, and, ultimately, his fate as a human being within God’s order and will.</w:t>
      </w:r>
    </w:p>
    <w:p w:rsidR="00F660E2" w:rsidRPr="00F660E2" w:rsidRDefault="00F660E2" w:rsidP="00F660E2">
      <w:pPr>
        <w:rPr>
          <w:szCs w:val="28"/>
          <w:lang w:eastAsia="es-PE"/>
        </w:rPr>
      </w:pPr>
      <w:r w:rsidRPr="00F660E2">
        <w:rPr>
          <w:szCs w:val="28"/>
          <w:lang w:eastAsia="es-PE"/>
        </w:rPr>
        <w:t>Then, on 2 July 1505, while returning to the university on horseback after a trip home, he got caught in a thunderstorm.</w:t>
      </w:r>
    </w:p>
    <w:p w:rsidR="00F660E2" w:rsidRPr="00F660E2" w:rsidRDefault="00F660E2" w:rsidP="00F660E2">
      <w:pPr>
        <w:rPr>
          <w:szCs w:val="28"/>
          <w:lang w:eastAsia="es-PE"/>
        </w:rPr>
      </w:pPr>
      <w:r w:rsidRPr="00F660E2">
        <w:rPr>
          <w:szCs w:val="28"/>
          <w:lang w:eastAsia="es-PE"/>
        </w:rPr>
        <w:t>A lightning bolt struck near him and he had what has classically been described as “fox hole conversion.”</w:t>
      </w:r>
      <w:r w:rsidRPr="00F660E2">
        <w:rPr>
          <w:szCs w:val="28"/>
          <w:vertAlign w:val="superscript"/>
          <w:lang w:val="es-PE" w:eastAsia="es-PE"/>
        </w:rPr>
        <w:footnoteReference w:id="4"/>
      </w:r>
      <w:r w:rsidRPr="00F660E2">
        <w:rPr>
          <w:szCs w:val="28"/>
          <w:lang w:eastAsia="es-PE"/>
        </w:rPr>
        <w:t xml:space="preserve"> The blast of light and clap of thunder terrified him. What if he was to die right there without having his spiritual life in order? He cried out, "Help! </w:t>
      </w:r>
      <w:hyperlink r:id="rId9" w:tooltip="Saint Anna" w:history="1">
        <w:r w:rsidRPr="00F660E2">
          <w:rPr>
            <w:rFonts w:eastAsiaTheme="majorEastAsia"/>
            <w:szCs w:val="28"/>
            <w:lang w:eastAsia="es-PE"/>
          </w:rPr>
          <w:t>Saint Anna</w:t>
        </w:r>
      </w:hyperlink>
      <w:r w:rsidRPr="00F660E2">
        <w:rPr>
          <w:szCs w:val="28"/>
          <w:lang w:eastAsia="es-PE"/>
        </w:rPr>
        <w:t>, I will become a monk.” He later came to view his cry for help as a vow he could never break.</w:t>
      </w:r>
    </w:p>
    <w:p w:rsidR="00F660E2" w:rsidRPr="00F660E2" w:rsidRDefault="00F660E2" w:rsidP="00F660E2">
      <w:pPr>
        <w:rPr>
          <w:b/>
          <w:szCs w:val="28"/>
          <w:lang w:eastAsia="es-PE"/>
        </w:rPr>
      </w:pPr>
      <w:r w:rsidRPr="00F660E2">
        <w:rPr>
          <w:szCs w:val="28"/>
          <w:lang w:eastAsia="es-PE"/>
        </w:rPr>
        <w:t xml:space="preserve">He consulted with his friends and then left law school, sold his books and gave away all his possession, including his lute on which he was proficient, and entered the Black Cloister of the Observant Augustinians in </w:t>
      </w:r>
      <w:hyperlink r:id="rId10" w:tooltip="Erfurt" w:history="1">
        <w:r w:rsidRPr="00F660E2">
          <w:rPr>
            <w:rFonts w:eastAsiaTheme="majorEastAsia"/>
            <w:szCs w:val="28"/>
            <w:lang w:eastAsia="es-PE"/>
          </w:rPr>
          <w:t>Erfurt</w:t>
        </w:r>
      </w:hyperlink>
      <w:r w:rsidRPr="00F660E2">
        <w:rPr>
          <w:szCs w:val="28"/>
          <w:lang w:eastAsia="es-PE"/>
        </w:rPr>
        <w:t xml:space="preserve"> on 17 July 1505. Today, this would be a huge step in someone’s life, signing up for a lifelong devotion to prayer and obedience to God. Luther himself seemed saddened by the move. Those who attended a farewell supper walked him to the door of the monastery. "This day you see me, and then, not ever again," he said. He spent more than a month in examining his conscience as was customary before proceeding to the novitiate. Another year of scrutiny followed before he became a friar.</w:t>
      </w:r>
      <w:r w:rsidRPr="00F660E2">
        <w:rPr>
          <w:szCs w:val="28"/>
          <w:vertAlign w:val="superscript"/>
          <w:lang w:val="es-PE" w:eastAsia="es-PE"/>
        </w:rPr>
        <w:footnoteReference w:id="5"/>
      </w:r>
      <w:r w:rsidRPr="00F660E2">
        <w:rPr>
          <w:szCs w:val="28"/>
          <w:lang w:eastAsia="es-PE"/>
        </w:rPr>
        <w:t xml:space="preserve"> </w:t>
      </w:r>
    </w:p>
    <w:p w:rsidR="00F660E2" w:rsidRPr="00F660E2" w:rsidRDefault="00F660E2" w:rsidP="00F660E2">
      <w:pPr>
        <w:rPr>
          <w:b/>
          <w:szCs w:val="28"/>
          <w:u w:val="single"/>
          <w:vertAlign w:val="superscript"/>
          <w:lang w:eastAsia="es-PE"/>
        </w:rPr>
      </w:pPr>
      <w:r w:rsidRPr="00F660E2">
        <w:rPr>
          <w:szCs w:val="28"/>
          <w:lang w:eastAsia="es-PE"/>
        </w:rPr>
        <w:t>For Luther, his decision also infuriated his father who saw his potentially lucrative career as a lawyer disappear into the cloister of a monastery. But he devoted himself as a friar and member of the Church and from this devotion and searching he set Christianity afire in the sixteenth century.</w:t>
      </w:r>
    </w:p>
    <w:p w:rsidR="00F660E2" w:rsidRPr="00F660E2" w:rsidRDefault="00F660E2" w:rsidP="00F660E2">
      <w:pPr>
        <w:rPr>
          <w:szCs w:val="28"/>
          <w:lang w:eastAsia="es-PE"/>
        </w:rPr>
      </w:pPr>
    </w:p>
    <w:p w:rsidR="00F660E2" w:rsidRPr="00F660E2" w:rsidRDefault="00F660E2" w:rsidP="00F660E2">
      <w:pPr>
        <w:rPr>
          <w:rFonts w:eastAsiaTheme="majorEastAsia" w:cstheme="majorBidi"/>
          <w:szCs w:val="28"/>
          <w:lang w:eastAsia="es-PE"/>
        </w:rPr>
      </w:pPr>
      <w:bookmarkStart w:id="0" w:name="_Toc488399636"/>
      <w:r w:rsidRPr="00F660E2">
        <w:rPr>
          <w:rFonts w:eastAsiaTheme="majorEastAsia" w:cstheme="majorBidi"/>
          <w:szCs w:val="28"/>
          <w:lang w:eastAsia="es-PE"/>
        </w:rPr>
        <w:t>Early and Academic Life</w:t>
      </w:r>
      <w:bookmarkEnd w:id="0"/>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 xml:space="preserve">Indeed, with one major exception, Luther thrived as a friar. He dedicated himself to the Augustinian order, devoting himself to </w:t>
      </w:r>
      <w:hyperlink r:id="rId11" w:tooltip="Fasting" w:history="1">
        <w:r w:rsidRPr="00F660E2">
          <w:rPr>
            <w:rFonts w:eastAsiaTheme="majorEastAsia"/>
            <w:szCs w:val="28"/>
            <w:lang w:eastAsia="es-PE"/>
          </w:rPr>
          <w:t>fasting</w:t>
        </w:r>
      </w:hyperlink>
      <w:r w:rsidRPr="00F660E2">
        <w:rPr>
          <w:szCs w:val="28"/>
          <w:lang w:eastAsia="es-PE"/>
        </w:rPr>
        <w:t xml:space="preserve">, long hours in </w:t>
      </w:r>
      <w:hyperlink r:id="rId12" w:tooltip="Prayer" w:history="1">
        <w:r w:rsidRPr="00F660E2">
          <w:rPr>
            <w:rFonts w:eastAsiaTheme="majorEastAsia"/>
            <w:szCs w:val="28"/>
            <w:lang w:eastAsia="es-PE"/>
          </w:rPr>
          <w:t>prayer</w:t>
        </w:r>
      </w:hyperlink>
      <w:r w:rsidRPr="00F660E2">
        <w:rPr>
          <w:szCs w:val="28"/>
          <w:lang w:eastAsia="es-PE"/>
        </w:rPr>
        <w:t xml:space="preserve">, </w:t>
      </w:r>
      <w:hyperlink r:id="rId13" w:tooltip="Pilgrimage" w:history="1">
        <w:r w:rsidRPr="00F660E2">
          <w:rPr>
            <w:rFonts w:eastAsiaTheme="majorEastAsia"/>
            <w:szCs w:val="28"/>
            <w:lang w:eastAsia="es-PE"/>
          </w:rPr>
          <w:t>pilgrimage</w:t>
        </w:r>
      </w:hyperlink>
      <w:r w:rsidRPr="00F660E2">
        <w:rPr>
          <w:szCs w:val="28"/>
          <w:lang w:eastAsia="es-PE"/>
        </w:rPr>
        <w:t xml:space="preserve">, and frequent </w:t>
      </w:r>
      <w:hyperlink r:id="rId14" w:tooltip="Confession (religion)" w:history="1">
        <w:r w:rsidRPr="00F660E2">
          <w:rPr>
            <w:rFonts w:eastAsiaTheme="majorEastAsia"/>
            <w:szCs w:val="28"/>
            <w:lang w:eastAsia="es-PE"/>
          </w:rPr>
          <w:t>confession</w:t>
        </w:r>
      </w:hyperlink>
      <w:r w:rsidRPr="00F660E2">
        <w:rPr>
          <w:szCs w:val="28"/>
          <w:lang w:eastAsia="es-PE"/>
        </w:rPr>
        <w:t xml:space="preserve">. </w:t>
      </w:r>
    </w:p>
    <w:p w:rsidR="00F660E2" w:rsidRPr="00F660E2" w:rsidRDefault="00F660E2" w:rsidP="00F660E2">
      <w:pPr>
        <w:rPr>
          <w:szCs w:val="28"/>
          <w:lang w:eastAsia="es-PE"/>
        </w:rPr>
      </w:pPr>
      <w:r w:rsidRPr="00F660E2">
        <w:rPr>
          <w:szCs w:val="28"/>
          <w:lang w:eastAsia="es-PE"/>
        </w:rPr>
        <w:t xml:space="preserve">But all was not well. Luther kept coming back to the central issue in his life: was he saved? How could he be sure, be really sure that the salvation promised in Scripture, or life forever after death, would be spent with Jesus in heaven, or in hell? Luther described this period of his life as one of deep spiritual despair. He said, "I lost touch with Christ the Savior and Comforter, and made of him the jailer and hangman of my poor soul." </w:t>
      </w:r>
      <w:hyperlink r:id="rId15" w:tooltip="Johann von Staupitz" w:history="1">
        <w:r w:rsidRPr="00F660E2">
          <w:rPr>
            <w:rFonts w:eastAsiaTheme="majorEastAsia"/>
            <w:szCs w:val="28"/>
            <w:lang w:eastAsia="es-PE"/>
          </w:rPr>
          <w:t>Johann von Staupitz</w:t>
        </w:r>
      </w:hyperlink>
      <w:r w:rsidRPr="00F660E2">
        <w:rPr>
          <w:szCs w:val="28"/>
          <w:lang w:eastAsia="es-PE"/>
        </w:rPr>
        <w:t>, his superior, pointed Luther's mind away from continual reflection upon his sins toward the merits of Christ. He taught that true repentance does not involve self-inflicted penances and punishments but rather a change of heart.</w:t>
      </w:r>
    </w:p>
    <w:p w:rsidR="00F660E2" w:rsidRPr="00F660E2" w:rsidRDefault="00F660E2" w:rsidP="00F660E2">
      <w:pPr>
        <w:rPr>
          <w:szCs w:val="28"/>
          <w:lang w:eastAsia="es-PE"/>
        </w:rPr>
      </w:pPr>
      <w:r w:rsidRPr="00F660E2">
        <w:rPr>
          <w:szCs w:val="28"/>
          <w:lang w:eastAsia="es-PE"/>
        </w:rPr>
        <w:t xml:space="preserve">In 1507, he was ordained to the priesthood, and in 1508, von Staupitz, first dean of the newly founded </w:t>
      </w:r>
      <w:hyperlink r:id="rId16" w:tooltip="Martin Luther University of Halle-Wittenberg" w:history="1">
        <w:r w:rsidRPr="00F660E2">
          <w:rPr>
            <w:rFonts w:eastAsiaTheme="majorEastAsia"/>
            <w:szCs w:val="28"/>
            <w:lang w:eastAsia="es-PE"/>
          </w:rPr>
          <w:t>University of Wittenberg</w:t>
        </w:r>
      </w:hyperlink>
      <w:r w:rsidRPr="00F660E2">
        <w:rPr>
          <w:szCs w:val="28"/>
          <w:lang w:eastAsia="es-PE"/>
        </w:rPr>
        <w:t xml:space="preserve">, </w:t>
      </w:r>
      <w:r w:rsidRPr="00F660E2">
        <w:rPr>
          <w:szCs w:val="28"/>
          <w:lang w:eastAsia="es-PE"/>
        </w:rPr>
        <w:lastRenderedPageBreak/>
        <w:t xml:space="preserve">sent for Luther, to teach </w:t>
      </w:r>
      <w:hyperlink r:id="rId17" w:tooltip="Theology" w:history="1">
        <w:r w:rsidRPr="00F660E2">
          <w:rPr>
            <w:rFonts w:eastAsiaTheme="majorEastAsia"/>
            <w:szCs w:val="28"/>
            <w:lang w:eastAsia="es-PE"/>
          </w:rPr>
          <w:t>theology</w:t>
        </w:r>
      </w:hyperlink>
      <w:r w:rsidRPr="00F660E2">
        <w:rPr>
          <w:szCs w:val="28"/>
          <w:lang w:eastAsia="es-PE"/>
        </w:rPr>
        <w:t xml:space="preserve">. He received a bachelor's degree in Biblical studies on 9 March 1508, and another bachelor's degree in the </w:t>
      </w:r>
      <w:hyperlink r:id="rId18" w:tooltip="Sentences" w:history="1">
        <w:r w:rsidRPr="00F660E2">
          <w:rPr>
            <w:rFonts w:eastAsiaTheme="majorEastAsia"/>
            <w:i/>
            <w:szCs w:val="28"/>
            <w:lang w:eastAsia="es-PE"/>
          </w:rPr>
          <w:t>Sentences</w:t>
        </w:r>
      </w:hyperlink>
      <w:r w:rsidRPr="00F660E2">
        <w:rPr>
          <w:szCs w:val="28"/>
          <w:lang w:eastAsia="es-PE"/>
        </w:rPr>
        <w:t xml:space="preserve"> by </w:t>
      </w:r>
      <w:hyperlink r:id="rId19" w:tooltip="Peter Lombard" w:history="1">
        <w:r w:rsidRPr="00F660E2">
          <w:rPr>
            <w:rFonts w:eastAsiaTheme="majorEastAsia"/>
            <w:szCs w:val="28"/>
            <w:lang w:eastAsia="es-PE"/>
          </w:rPr>
          <w:t>Peter Lombard</w:t>
        </w:r>
      </w:hyperlink>
      <w:r w:rsidRPr="00F660E2">
        <w:rPr>
          <w:szCs w:val="28"/>
          <w:lang w:eastAsia="es-PE"/>
        </w:rPr>
        <w:t xml:space="preserve"> in 1509. </w:t>
      </w:r>
    </w:p>
    <w:p w:rsidR="00F660E2" w:rsidRPr="00F660E2" w:rsidRDefault="00F660E2" w:rsidP="00F660E2">
      <w:pPr>
        <w:rPr>
          <w:szCs w:val="28"/>
          <w:lang w:eastAsia="es-PE"/>
        </w:rPr>
      </w:pPr>
      <w:r w:rsidRPr="00F660E2">
        <w:rPr>
          <w:szCs w:val="28"/>
          <w:lang w:eastAsia="es-PE"/>
        </w:rPr>
        <w:t xml:space="preserve">On 19 October 1512, he was awarded his </w:t>
      </w:r>
      <w:hyperlink r:id="rId20" w:tooltip="Doctor of Theology" w:history="1">
        <w:r w:rsidRPr="00F660E2">
          <w:rPr>
            <w:rFonts w:eastAsiaTheme="majorEastAsia"/>
            <w:szCs w:val="28"/>
            <w:lang w:eastAsia="es-PE"/>
          </w:rPr>
          <w:t>Doctor of Theology</w:t>
        </w:r>
      </w:hyperlink>
      <w:r w:rsidRPr="00F660E2">
        <w:rPr>
          <w:szCs w:val="28"/>
          <w:lang w:eastAsia="es-PE"/>
        </w:rPr>
        <w:t xml:space="preserve"> and, on 21 October 1512, was received into the senate of the theological faculty of the University of Wittenberg, having succeeded Staupitz as chair of theology. He spent the rest of his career in this position at the University of Wittenberg.</w:t>
      </w:r>
    </w:p>
    <w:p w:rsidR="00F660E2" w:rsidRPr="00F660E2" w:rsidRDefault="00F660E2" w:rsidP="00F660E2">
      <w:pPr>
        <w:rPr>
          <w:szCs w:val="28"/>
          <w:lang w:eastAsia="es-PE"/>
        </w:rPr>
      </w:pPr>
      <w:r w:rsidRPr="00F660E2">
        <w:rPr>
          <w:szCs w:val="28"/>
          <w:lang w:eastAsia="es-PE"/>
        </w:rPr>
        <w:t xml:space="preserve">He was made provincial </w:t>
      </w:r>
      <w:hyperlink r:id="rId21" w:tooltip="Vicar" w:history="1">
        <w:r w:rsidRPr="00F660E2">
          <w:rPr>
            <w:rFonts w:eastAsiaTheme="majorEastAsia"/>
            <w:szCs w:val="28"/>
            <w:lang w:eastAsia="es-PE"/>
          </w:rPr>
          <w:t>vicar</w:t>
        </w:r>
      </w:hyperlink>
      <w:r w:rsidRPr="00F660E2">
        <w:rPr>
          <w:szCs w:val="28"/>
          <w:lang w:eastAsia="es-PE"/>
        </w:rPr>
        <w:t xml:space="preserve"> of </w:t>
      </w:r>
      <w:hyperlink r:id="rId22" w:tooltip="Saxony" w:history="1">
        <w:r w:rsidRPr="00F660E2">
          <w:rPr>
            <w:rFonts w:eastAsiaTheme="majorEastAsia"/>
            <w:szCs w:val="28"/>
            <w:lang w:eastAsia="es-PE"/>
          </w:rPr>
          <w:t>Saxony</w:t>
        </w:r>
      </w:hyperlink>
      <w:r w:rsidRPr="00F660E2">
        <w:rPr>
          <w:szCs w:val="28"/>
          <w:lang w:eastAsia="es-PE"/>
        </w:rPr>
        <w:t xml:space="preserve"> and </w:t>
      </w:r>
      <w:hyperlink r:id="rId23" w:tooltip="Thuringia" w:history="1">
        <w:r w:rsidRPr="00F660E2">
          <w:rPr>
            <w:rFonts w:eastAsiaTheme="majorEastAsia"/>
            <w:szCs w:val="28"/>
            <w:lang w:eastAsia="es-PE"/>
          </w:rPr>
          <w:t>Thuringia</w:t>
        </w:r>
      </w:hyperlink>
      <w:r w:rsidRPr="00F660E2">
        <w:rPr>
          <w:szCs w:val="28"/>
          <w:lang w:eastAsia="es-PE"/>
        </w:rPr>
        <w:t xml:space="preserve"> by the Augustinians in 1515. This meant he was to visit and oversee each of eleven monasteries in his province.</w:t>
      </w:r>
    </w:p>
    <w:p w:rsidR="00F660E2" w:rsidRPr="00F660E2" w:rsidRDefault="00F660E2" w:rsidP="00F660E2">
      <w:pPr>
        <w:rPr>
          <w:szCs w:val="28"/>
          <w:lang w:eastAsia="es-PE"/>
        </w:rPr>
      </w:pPr>
      <w:r w:rsidRPr="00F660E2">
        <w:rPr>
          <w:szCs w:val="28"/>
          <w:lang w:eastAsia="es-PE"/>
        </w:rPr>
        <w:t>All seemed to be going well, but let’s return to the one big exception. Was he saved? And, if so, how could he know it? And, if not, how could he earn it?</w:t>
      </w:r>
    </w:p>
    <w:p w:rsidR="00F660E2" w:rsidRPr="00F660E2" w:rsidRDefault="00F660E2" w:rsidP="00F660E2">
      <w:pPr>
        <w:rPr>
          <w:szCs w:val="28"/>
          <w:lang w:eastAsia="es-PE"/>
        </w:rPr>
      </w:pPr>
    </w:p>
    <w:p w:rsidR="00F660E2" w:rsidRPr="00F660E2" w:rsidRDefault="00F660E2" w:rsidP="00F660E2">
      <w:pPr>
        <w:rPr>
          <w:rFonts w:eastAsiaTheme="majorEastAsia" w:cstheme="majorBidi"/>
          <w:szCs w:val="28"/>
          <w:lang w:eastAsia="es-PE"/>
        </w:rPr>
      </w:pPr>
      <w:bookmarkStart w:id="1" w:name="_Toc488399637"/>
      <w:r w:rsidRPr="00F660E2">
        <w:rPr>
          <w:rFonts w:eastAsiaTheme="majorEastAsia" w:cstheme="majorBidi"/>
          <w:szCs w:val="28"/>
          <w:lang w:eastAsia="es-PE"/>
        </w:rPr>
        <w:t>Luther and the Dilemma of Salvation</w:t>
      </w:r>
      <w:bookmarkEnd w:id="1"/>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The Church taught that God demanded absolute righteousness.</w:t>
      </w:r>
      <w:r w:rsidRPr="00F660E2">
        <w:rPr>
          <w:szCs w:val="28"/>
          <w:vertAlign w:val="superscript"/>
          <w:lang w:val="es-PE" w:eastAsia="es-PE"/>
        </w:rPr>
        <w:footnoteReference w:id="6"/>
      </w:r>
      <w:r w:rsidRPr="00F660E2">
        <w:rPr>
          <w:szCs w:val="28"/>
          <w:lang w:eastAsia="es-PE"/>
        </w:rPr>
        <w:t xml:space="preserve"> Matthew 5, verse 48 read “Be perfect, therefore, as your heavenly father is perfect.” (New International Version). Most of Chapter 5, commonly called the Beatitudes, is indeed hard to follow. It teaches us to love our neighbor as ourselves and even includes the following injunction which seems so counter-intuitive as to be impossible to fulfill: “You have heard that it was said, ‘Eye for eye, and tooth for tooth.’ But I tell you, do not resist an evil person. If anyone slaps you on the right cheek, turn to them the other cheek also.” (Matthew 5: 38-39)</w:t>
      </w:r>
    </w:p>
    <w:p w:rsidR="00F660E2" w:rsidRPr="00F660E2" w:rsidRDefault="00F660E2" w:rsidP="00F660E2">
      <w:pPr>
        <w:rPr>
          <w:szCs w:val="28"/>
          <w:lang w:eastAsia="es-PE"/>
        </w:rPr>
      </w:pPr>
      <w:r w:rsidRPr="00F660E2">
        <w:rPr>
          <w:szCs w:val="28"/>
          <w:lang w:eastAsia="es-PE"/>
        </w:rPr>
        <w:t>As Luther pondered on the nature of God, he found himself unable to be good enough, to be contrite enough, to be selfless enough to satisfy this righteous God. What to do? Was he damned no matter what?</w:t>
      </w:r>
    </w:p>
    <w:p w:rsidR="00F660E2" w:rsidRPr="00F660E2" w:rsidRDefault="00F660E2" w:rsidP="00F660E2">
      <w:pPr>
        <w:rPr>
          <w:b/>
          <w:szCs w:val="28"/>
          <w:lang w:eastAsia="es-PE"/>
        </w:rPr>
      </w:pPr>
      <w:r w:rsidRPr="00F660E2">
        <w:rPr>
          <w:szCs w:val="28"/>
          <w:lang w:eastAsia="es-PE"/>
        </w:rPr>
        <w:t>I liked the way a Christian writer, David Zahl, presented the conundrum Luther was facing.</w:t>
      </w:r>
      <w:r w:rsidRPr="00F660E2">
        <w:rPr>
          <w:b/>
          <w:szCs w:val="28"/>
          <w:vertAlign w:val="superscript"/>
          <w:lang w:val="es-PE" w:eastAsia="es-PE"/>
        </w:rPr>
        <w:footnoteReference w:id="7"/>
      </w:r>
    </w:p>
    <w:p w:rsidR="00F660E2" w:rsidRPr="00F660E2" w:rsidRDefault="00F660E2" w:rsidP="00F660E2">
      <w:pPr>
        <w:rPr>
          <w:szCs w:val="28"/>
          <w:lang w:eastAsia="es-PE"/>
        </w:rPr>
      </w:pPr>
      <w:r w:rsidRPr="00F660E2">
        <w:rPr>
          <w:szCs w:val="28"/>
          <w:lang w:eastAsia="es-PE"/>
        </w:rPr>
        <w:t xml:space="preserve">“Picture, if you can,” Zahl wrote, “an earnest-looking monk in his mid-30s, sequestered in one of the small rooms in the tower of his cloister. He is hard at work on a fresh set of lectures for the </w:t>
      </w:r>
      <w:r w:rsidRPr="00F660E2">
        <w:rPr>
          <w:szCs w:val="28"/>
          <w:lang w:eastAsia="es-PE"/>
        </w:rPr>
        <w:lastRenderedPageBreak/>
        <w:t>university where he serves as a professor of theology. The work isn’t going well. He has hit a roadblock in his studies that will not yield, a passage in the first chapter of Romans. The 17th verse specifically has been keeping him up at night: “For in the gospel the righteousness of God is revealed — a righteousness that is by faith from first to last, just as it is written: ‘The righteous will live by faith.’”</w:t>
      </w:r>
    </w:p>
    <w:p w:rsidR="00F660E2" w:rsidRPr="00F660E2" w:rsidRDefault="00F660E2" w:rsidP="00F660E2">
      <w:pPr>
        <w:rPr>
          <w:szCs w:val="28"/>
          <w:lang w:eastAsia="es-PE"/>
        </w:rPr>
      </w:pPr>
      <w:r w:rsidRPr="00F660E2">
        <w:rPr>
          <w:szCs w:val="28"/>
          <w:lang w:eastAsia="es-PE"/>
        </w:rPr>
        <w:t xml:space="preserve">What did this mean? </w:t>
      </w:r>
    </w:p>
    <w:p w:rsidR="00F660E2" w:rsidRPr="00F660E2" w:rsidRDefault="00F660E2" w:rsidP="00F660E2">
      <w:pPr>
        <w:rPr>
          <w:szCs w:val="28"/>
          <w:lang w:eastAsia="es-PE"/>
        </w:rPr>
      </w:pPr>
      <w:r w:rsidRPr="00F660E2">
        <w:rPr>
          <w:szCs w:val="28"/>
          <w:lang w:eastAsia="es-PE"/>
        </w:rPr>
        <w:t>“Like those around him,” Zahl continues, “Martin Luther had been trained in the medieval scholastic tradition, which interpreted Paul’s phrase “the righteousness of God” as shorthand for the awesome holiness of God, before which sinners can only quail in fear. He would have read the verse in Romans roughly as, “The gospel reveals that God punishes sinners,” which, of course, is no gospel at all. The prospect both terrified and consumed him.”</w:t>
      </w:r>
    </w:p>
    <w:p w:rsidR="00F660E2" w:rsidRPr="00F660E2" w:rsidRDefault="00F660E2" w:rsidP="00F660E2">
      <w:pPr>
        <w:rPr>
          <w:szCs w:val="28"/>
          <w:lang w:eastAsia="es-PE"/>
        </w:rPr>
      </w:pPr>
      <w:r w:rsidRPr="00F660E2">
        <w:rPr>
          <w:szCs w:val="28"/>
          <w:lang w:eastAsia="es-PE"/>
        </w:rPr>
        <w:t>How could one please such an awesome God?</w:t>
      </w:r>
    </w:p>
    <w:p w:rsidR="00F660E2" w:rsidRPr="00F660E2" w:rsidRDefault="00F660E2" w:rsidP="00F660E2">
      <w:pPr>
        <w:rPr>
          <w:szCs w:val="28"/>
          <w:lang w:eastAsia="es-PE"/>
        </w:rPr>
      </w:pPr>
      <w:r w:rsidRPr="00F660E2">
        <w:rPr>
          <w:szCs w:val="28"/>
          <w:lang w:eastAsia="es-PE"/>
        </w:rPr>
        <w:t>Zahl suggests that “Brother Martin, you see, possessed what might politely be called an overactive conscience. Today he’d likely be termed a neurotic or “a real handful.” Whatever the root of his sensitivities, they had already driven him into a monastery, where he hoped a life of radical service might bring him the peace with God he craved.”</w:t>
      </w:r>
    </w:p>
    <w:p w:rsidR="00F660E2" w:rsidRPr="00F660E2" w:rsidRDefault="00F660E2" w:rsidP="00F660E2">
      <w:pPr>
        <w:rPr>
          <w:szCs w:val="28"/>
          <w:lang w:eastAsia="es-PE"/>
        </w:rPr>
      </w:pPr>
      <w:r w:rsidRPr="00F660E2">
        <w:rPr>
          <w:szCs w:val="28"/>
          <w:lang w:eastAsia="es-PE"/>
        </w:rPr>
        <w:t>Luther was obsessed because he could not figure out why God was so merciless.</w:t>
      </w:r>
    </w:p>
    <w:p w:rsidR="00F660E2" w:rsidRPr="00F660E2" w:rsidRDefault="00F660E2" w:rsidP="00F660E2">
      <w:pPr>
        <w:rPr>
          <w:szCs w:val="28"/>
          <w:lang w:eastAsia="es-PE"/>
        </w:rPr>
      </w:pPr>
      <w:r w:rsidRPr="00F660E2">
        <w:rPr>
          <w:szCs w:val="28"/>
          <w:lang w:eastAsia="es-PE"/>
        </w:rPr>
        <w:t>“In the monastery” Zahl continued, “he became notorious for spending countless hours in the confessional, trying to get right with God by unearthing every dark thought and impure motive in his heart. Yet he found no comfort. The deeper he dove into the system of confession and penance, the deeper his despair at pleasing God became. As he would later admit, he had begun to hate a God who, he felt, demanded the impossible — who clobbered sinners mercilessly with his law, only to clobber them afresh with his gospel, too.”</w:t>
      </w:r>
    </w:p>
    <w:p w:rsidR="00F660E2" w:rsidRPr="00F660E2" w:rsidRDefault="00F660E2" w:rsidP="00F660E2">
      <w:pPr>
        <w:rPr>
          <w:szCs w:val="28"/>
          <w:lang w:eastAsia="es-PE"/>
        </w:rPr>
      </w:pPr>
      <w:r w:rsidRPr="00F660E2">
        <w:rPr>
          <w:szCs w:val="28"/>
          <w:lang w:eastAsia="es-PE"/>
        </w:rPr>
        <w:t>But, then, the breakthrough. I think God finally broke through Luther’s insistence on man’s understanding and gave him a spiritual understanding that only God could supply.</w:t>
      </w:r>
    </w:p>
    <w:p w:rsidR="00F660E2" w:rsidRPr="00F660E2" w:rsidRDefault="00F660E2" w:rsidP="00F660E2">
      <w:pPr>
        <w:rPr>
          <w:szCs w:val="28"/>
          <w:lang w:eastAsia="es-PE"/>
        </w:rPr>
      </w:pPr>
      <w:r w:rsidRPr="00F660E2">
        <w:rPr>
          <w:szCs w:val="28"/>
          <w:lang w:eastAsia="es-PE"/>
        </w:rPr>
        <w:t xml:space="preserve">“Agonizing over the verse once again,” Zahl summarized it for us, “he received a lightning bolt of inspiration. This is how he described it: ‘I grasped that the righteousness of God is that </w:t>
      </w:r>
      <w:r w:rsidRPr="00F660E2">
        <w:rPr>
          <w:szCs w:val="28"/>
          <w:lang w:eastAsia="es-PE"/>
        </w:rPr>
        <w:lastRenderedPageBreak/>
        <w:t>righteousness by which through grace and sheer mercy God justifies us through faith. Thereupon I felt myself to be reborn and to have gone through open doors into paradise.’”</w:t>
      </w:r>
    </w:p>
    <w:p w:rsidR="00F660E2" w:rsidRPr="00F660E2" w:rsidRDefault="00F660E2" w:rsidP="00F660E2">
      <w:pPr>
        <w:rPr>
          <w:szCs w:val="28"/>
          <w:lang w:eastAsia="es-PE"/>
        </w:rPr>
      </w:pPr>
      <w:r w:rsidRPr="00F660E2">
        <w:rPr>
          <w:szCs w:val="28"/>
          <w:lang w:eastAsia="es-PE"/>
        </w:rPr>
        <w:t>Luther had in fact come to understand that God’s grace, and salvation, could not be earned in any way by good works, penance, or formal acts of sacrament such as confession that could only be extended by the Church. The Church had, in fact, corrupted the purity of the gospel, which translates of course, as the “good news,” with man-made interpretations and accretions both to Church law (canon law) and traditions over the past 1400 or so years. Salvation could not be earned by good works, by confession, by penance, by any other human act. Salvation came freely from God through grace, which is defined as the “unmerited favor of God” by many, if not most, Christians. God through his immense love for man offers us salvation. We have but to receive it by faith.</w:t>
      </w:r>
    </w:p>
    <w:p w:rsidR="00F660E2" w:rsidRPr="00F660E2" w:rsidRDefault="00F660E2" w:rsidP="00F660E2">
      <w:pPr>
        <w:rPr>
          <w:szCs w:val="28"/>
          <w:lang w:eastAsia="es-PE"/>
        </w:rPr>
      </w:pPr>
      <w:r w:rsidRPr="00F660E2">
        <w:rPr>
          <w:szCs w:val="28"/>
          <w:lang w:eastAsia="es-PE"/>
        </w:rPr>
        <w:t xml:space="preserve">Luther was not evolving a new doctrine. He was rediscovering what the apostle Paul meant in his writings, and later interpreted by many of the early Church fathers such as St. Augustine of Hippo, one of the giants of Christian doctrine and theology. </w:t>
      </w:r>
    </w:p>
    <w:p w:rsidR="00F660E2" w:rsidRPr="00F660E2" w:rsidRDefault="00F660E2" w:rsidP="00F660E2">
      <w:pPr>
        <w:rPr>
          <w:szCs w:val="28"/>
          <w:lang w:eastAsia="es-PE"/>
        </w:rPr>
      </w:pPr>
      <w:r w:rsidRPr="00F660E2">
        <w:rPr>
          <w:szCs w:val="28"/>
          <w:lang w:eastAsia="es-PE"/>
        </w:rPr>
        <w:t>Another major scholar of Luther, James M. Kittleson, described the same process, but through a theologian’s perspective. It is worth recalling here.</w:t>
      </w:r>
      <w:r w:rsidRPr="00F660E2">
        <w:rPr>
          <w:szCs w:val="28"/>
          <w:vertAlign w:val="superscript"/>
          <w:lang w:val="es-PE" w:eastAsia="es-PE"/>
        </w:rPr>
        <w:footnoteReference w:id="8"/>
      </w:r>
    </w:p>
    <w:p w:rsidR="00F660E2" w:rsidRPr="00F660E2" w:rsidRDefault="00F660E2" w:rsidP="00F660E2">
      <w:pPr>
        <w:rPr>
          <w:szCs w:val="28"/>
          <w:lang w:eastAsia="es-PE"/>
        </w:rPr>
      </w:pPr>
      <w:r w:rsidRPr="00F660E2">
        <w:rPr>
          <w:szCs w:val="28"/>
          <w:lang w:eastAsia="es-PE"/>
        </w:rPr>
        <w:t xml:space="preserve">Again, the passage in Romans 1:17, the famous “Reformation text,” kept Luther in doubt. As Kittleson notes, Luther’s “eyes were drawn not to the word </w:t>
      </w:r>
      <w:r w:rsidRPr="00F660E2">
        <w:rPr>
          <w:i/>
          <w:szCs w:val="28"/>
          <w:lang w:eastAsia="es-PE"/>
        </w:rPr>
        <w:t>faith</w:t>
      </w:r>
      <w:r w:rsidRPr="00F660E2">
        <w:rPr>
          <w:szCs w:val="28"/>
          <w:lang w:eastAsia="es-PE"/>
        </w:rPr>
        <w:t xml:space="preserve">, but to the word </w:t>
      </w:r>
      <w:r w:rsidRPr="00F660E2">
        <w:rPr>
          <w:i/>
          <w:szCs w:val="28"/>
          <w:lang w:eastAsia="es-PE"/>
        </w:rPr>
        <w:t>righteousness</w:t>
      </w:r>
      <w:r w:rsidRPr="00F660E2">
        <w:rPr>
          <w:szCs w:val="28"/>
          <w:lang w:eastAsia="es-PE"/>
        </w:rPr>
        <w:t>. Who, after all, could ‘live by faith?’ Only those who were already righteous.”</w:t>
      </w:r>
      <w:r w:rsidRPr="00F660E2">
        <w:rPr>
          <w:szCs w:val="28"/>
          <w:vertAlign w:val="superscript"/>
          <w:lang w:val="es-PE" w:eastAsia="es-PE"/>
        </w:rPr>
        <w:footnoteReference w:id="9"/>
      </w:r>
    </w:p>
    <w:p w:rsidR="00F660E2" w:rsidRPr="00F660E2" w:rsidRDefault="00F660E2" w:rsidP="00F660E2">
      <w:pPr>
        <w:rPr>
          <w:szCs w:val="28"/>
          <w:lang w:eastAsia="es-PE"/>
        </w:rPr>
      </w:pPr>
      <w:r w:rsidRPr="00F660E2">
        <w:rPr>
          <w:szCs w:val="28"/>
          <w:lang w:eastAsia="es-PE"/>
        </w:rPr>
        <w:t>Luther was so taken that he was a sinful man who could never be righteous that he irritated even his mentor Staupitz who told him to go and commit a real sin.</w:t>
      </w:r>
    </w:p>
    <w:p w:rsidR="00F660E2" w:rsidRPr="00F660E2" w:rsidRDefault="00F660E2" w:rsidP="00F660E2">
      <w:pPr>
        <w:rPr>
          <w:szCs w:val="28"/>
          <w:lang w:eastAsia="es-PE"/>
        </w:rPr>
      </w:pPr>
      <w:r w:rsidRPr="00F660E2">
        <w:rPr>
          <w:szCs w:val="28"/>
          <w:lang w:eastAsia="es-PE"/>
        </w:rPr>
        <w:t>“You want to be without sin,” Staupitz told his pupil, “but you don’t have any real sins anyway…the murder of one’s parents, public vices, blasphemy, adultery, and the like…. You must not inflate your halting, artificial sins out of proportion!”</w:t>
      </w:r>
    </w:p>
    <w:p w:rsidR="00F660E2" w:rsidRPr="00F660E2" w:rsidRDefault="00F660E2" w:rsidP="00F660E2">
      <w:pPr>
        <w:rPr>
          <w:szCs w:val="28"/>
          <w:lang w:eastAsia="es-PE"/>
        </w:rPr>
      </w:pPr>
      <w:r w:rsidRPr="00F660E2">
        <w:rPr>
          <w:szCs w:val="28"/>
          <w:lang w:eastAsia="es-PE"/>
        </w:rPr>
        <w:t xml:space="preserve">Luther persisted that he could never be righteous enough. Sin would always plague him. “My conscience,” Luther wrote, “would never give me assurance, but I was always doubting and said ‘You </w:t>
      </w:r>
      <w:r w:rsidRPr="00F660E2">
        <w:rPr>
          <w:szCs w:val="28"/>
          <w:lang w:eastAsia="es-PE"/>
        </w:rPr>
        <w:lastRenderedPageBreak/>
        <w:t>did not perform that correctly. You were not contrite enough. You left that out of your confession.’”</w:t>
      </w:r>
    </w:p>
    <w:p w:rsidR="00F660E2" w:rsidRPr="00F660E2" w:rsidRDefault="00F660E2" w:rsidP="00F660E2">
      <w:pPr>
        <w:rPr>
          <w:szCs w:val="28"/>
          <w:lang w:eastAsia="es-PE"/>
        </w:rPr>
      </w:pPr>
      <w:r w:rsidRPr="00F660E2">
        <w:rPr>
          <w:szCs w:val="28"/>
          <w:lang w:eastAsia="es-PE"/>
        </w:rPr>
        <w:t>Rather fed up with Luther’s constant haggling with himself, his conscience, and, truth be known, with Staupitz himself, Staupitz ordered his young subaltern to begin studies at the University of Wittenberg to become a doctor and professor of the Bible. As so often happens, the teacher or professor learns far more than his students in his preparations to lecture and teach. Staupitz was a wise man.</w:t>
      </w:r>
    </w:p>
    <w:p w:rsidR="00F660E2" w:rsidRPr="00F660E2" w:rsidRDefault="00F660E2" w:rsidP="00F660E2">
      <w:pPr>
        <w:rPr>
          <w:szCs w:val="28"/>
          <w:lang w:eastAsia="es-PE"/>
        </w:rPr>
      </w:pPr>
      <w:r w:rsidRPr="00F660E2">
        <w:rPr>
          <w:szCs w:val="28"/>
          <w:lang w:eastAsia="es-PE"/>
        </w:rPr>
        <w:t>In late 1513 or early 1514 Luther arrived at Psalms 72 in his lectures. In it King David thanks the Lord for virtually everything, and Luther began to perceive that if God supplies us with everything, then righteousness must be in the bag. And so, Luther began to teach that “God gives us righteousness. In fact, a little later during these same lectures, he [Luther] asserted that all the attributes of God — ‘truth, wisdom, salvation, justice’ — are ‘the things with which he makes us strong, saved, just, and wise.’”</w:t>
      </w:r>
    </w:p>
    <w:p w:rsidR="00F660E2" w:rsidRPr="00F660E2" w:rsidRDefault="00F660E2" w:rsidP="00F660E2">
      <w:pPr>
        <w:rPr>
          <w:szCs w:val="28"/>
          <w:lang w:eastAsia="es-PE"/>
        </w:rPr>
      </w:pPr>
      <w:r w:rsidRPr="00F660E2">
        <w:rPr>
          <w:szCs w:val="28"/>
          <w:lang w:eastAsia="es-PE"/>
        </w:rPr>
        <w:t>As Kittleson wrote, “On the heels of this change came others. Luther no longer understood the church as the institution that boasted apostolic succession, but instead as the community of those who had been given faith. Salvation came no longer by the sacraments as such; instead the sacraments nurtured God-given faith. The idea that human beings had enough spark of goodness to seek out God, commonly taught in the Middle Ages, he proclaimed as coming from ‘fools’ and ‘pig theologians.’”</w:t>
      </w:r>
    </w:p>
    <w:p w:rsidR="00F660E2" w:rsidRPr="00F660E2" w:rsidRDefault="00F660E2" w:rsidP="00F660E2">
      <w:pPr>
        <w:rPr>
          <w:szCs w:val="28"/>
          <w:lang w:eastAsia="es-PE"/>
        </w:rPr>
      </w:pPr>
      <w:r w:rsidRPr="00F660E2">
        <w:rPr>
          <w:szCs w:val="28"/>
          <w:lang w:eastAsia="es-PE"/>
        </w:rPr>
        <w:t>Continuing with Kittleson’s analysis, we find that “Faith for him [Luther] no longer consistent of assenting to the church's teachings but of trusting the promises of God and the merits of Christ. In short, Luther found himself working a revolution that contradicted almost everything he had been taught. It lay there, ready to explode, and even Luther was unaware of how loudly it would do so.”</w:t>
      </w:r>
      <w:r w:rsidRPr="00F660E2">
        <w:rPr>
          <w:szCs w:val="28"/>
          <w:vertAlign w:val="superscript"/>
          <w:lang w:val="es-PE" w:eastAsia="es-PE"/>
        </w:rPr>
        <w:footnoteReference w:id="10"/>
      </w:r>
    </w:p>
    <w:p w:rsidR="00F660E2" w:rsidRPr="00F660E2" w:rsidRDefault="00F660E2" w:rsidP="00F660E2">
      <w:pPr>
        <w:rPr>
          <w:szCs w:val="28"/>
          <w:lang w:eastAsia="es-PE"/>
        </w:rPr>
      </w:pPr>
      <w:r w:rsidRPr="00F660E2">
        <w:rPr>
          <w:szCs w:val="28"/>
          <w:lang w:eastAsia="es-PE"/>
        </w:rPr>
        <w:t xml:space="preserve">When Luther came to this understanding, he next took aim at Church practices which had corrupted the Church in the past thousand years. As he targeted practices such as the sale of indulgences, he unwittingly started a split in the Church that </w:t>
      </w:r>
      <w:r w:rsidRPr="00F660E2">
        <w:rPr>
          <w:szCs w:val="28"/>
          <w:lang w:eastAsia="es-PE"/>
        </w:rPr>
        <w:lastRenderedPageBreak/>
        <w:t>eventually led to a major schism in Christianity which goes generally, as we know, by the name of the Reformation.</w:t>
      </w:r>
    </w:p>
    <w:p w:rsidR="00F660E2" w:rsidRPr="00F660E2" w:rsidRDefault="00F660E2" w:rsidP="00F660E2">
      <w:pPr>
        <w:rPr>
          <w:szCs w:val="28"/>
          <w:lang w:eastAsia="es-PE"/>
        </w:rPr>
      </w:pPr>
      <w:r w:rsidRPr="00F660E2">
        <w:rPr>
          <w:szCs w:val="28"/>
          <w:lang w:eastAsia="es-PE"/>
        </w:rPr>
        <w:t>What were indulgences?</w:t>
      </w:r>
    </w:p>
    <w:p w:rsidR="00F660E2" w:rsidRPr="00F660E2" w:rsidRDefault="00F660E2" w:rsidP="00F660E2">
      <w:pPr>
        <w:rPr>
          <w:szCs w:val="28"/>
          <w:lang w:eastAsia="es-PE"/>
        </w:rPr>
      </w:pPr>
      <w:r w:rsidRPr="00F660E2">
        <w:rPr>
          <w:szCs w:val="28"/>
          <w:lang w:eastAsia="es-PE"/>
        </w:rPr>
        <w:t>In the simplest terms, they were documents for sale by the Church which guaranteed that a loved one in Purgatory would receive forgiveness for their sins. In some instances, one could purchase an indulgence for one’s self. Luther considered the whole concept of indulgences as an illegitimate usurpation of power and authority by the Pope. Who could forgive sins but God alone?</w:t>
      </w:r>
    </w:p>
    <w:p w:rsidR="00F660E2" w:rsidRPr="00F660E2" w:rsidRDefault="00F660E2" w:rsidP="00F660E2">
      <w:pPr>
        <w:rPr>
          <w:szCs w:val="28"/>
          <w:lang w:eastAsia="es-PE"/>
        </w:rPr>
      </w:pPr>
      <w:r w:rsidRPr="00F660E2">
        <w:rPr>
          <w:szCs w:val="28"/>
          <w:lang w:eastAsia="es-PE"/>
        </w:rPr>
        <w:t>Selling the indulgences in Germany at the time was a “short, dumpy Dominican friar” named Johann Tetzel.</w:t>
      </w:r>
      <w:r w:rsidRPr="00F660E2">
        <w:rPr>
          <w:szCs w:val="28"/>
          <w:vertAlign w:val="superscript"/>
          <w:lang w:val="es-PE" w:eastAsia="es-PE"/>
        </w:rPr>
        <w:footnoteReference w:id="11"/>
      </w:r>
      <w:r w:rsidRPr="00F660E2">
        <w:rPr>
          <w:szCs w:val="28"/>
          <w:lang w:eastAsia="es-PE"/>
        </w:rPr>
        <w:t xml:space="preserve"> The revenue from selling indulgences went to support the Church, in this instance the rebuilding of basilica of St. Peter’s in Rome. The stage was set for the most dramatic confrontation in the history of the Christian church.</w:t>
      </w:r>
    </w:p>
    <w:p w:rsidR="00F660E2" w:rsidRPr="00F660E2" w:rsidRDefault="00F660E2" w:rsidP="00F660E2">
      <w:pPr>
        <w:rPr>
          <w:szCs w:val="28"/>
          <w:lang w:eastAsia="es-PE"/>
        </w:rPr>
      </w:pPr>
      <w:r w:rsidRPr="00F660E2">
        <w:rPr>
          <w:szCs w:val="28"/>
          <w:lang w:eastAsia="es-PE"/>
        </w:rPr>
        <w:t>Tetzel was a good salesman, popular with the people. He even coined a ditty, which may or may not be true, but, if true, the jingle helped popularize his job of selling indulgences. “As soon as the coin in the coffer rings, a soul out of purgatory springs.”</w:t>
      </w:r>
    </w:p>
    <w:p w:rsidR="00F660E2" w:rsidRPr="00F660E2" w:rsidRDefault="00F660E2" w:rsidP="00F660E2">
      <w:pPr>
        <w:rPr>
          <w:szCs w:val="28"/>
          <w:lang w:eastAsia="es-PE"/>
        </w:rPr>
      </w:pPr>
      <w:r w:rsidRPr="00F660E2">
        <w:rPr>
          <w:szCs w:val="28"/>
          <w:lang w:eastAsia="es-PE"/>
        </w:rPr>
        <w:t>All of this begs the question, of course: what is purgatory? In Catholic Church doctrine, it was a place between heaven and hell, an “</w:t>
      </w:r>
      <w:hyperlink r:id="rId24" w:tooltip="Intermediate state" w:history="1">
        <w:r w:rsidRPr="00F660E2">
          <w:rPr>
            <w:rFonts w:eastAsiaTheme="majorEastAsia"/>
            <w:szCs w:val="28"/>
            <w:lang w:eastAsia="es-PE"/>
          </w:rPr>
          <w:t>intermediate state</w:t>
        </w:r>
      </w:hyperlink>
      <w:r w:rsidRPr="00F660E2">
        <w:rPr>
          <w:szCs w:val="28"/>
          <w:lang w:eastAsia="es-PE"/>
        </w:rPr>
        <w:t xml:space="preserve"> after physical </w:t>
      </w:r>
      <w:hyperlink r:id="rId25" w:tooltip="Death" w:history="1">
        <w:r w:rsidRPr="00F660E2">
          <w:rPr>
            <w:rFonts w:eastAsiaTheme="majorEastAsia"/>
            <w:szCs w:val="28"/>
            <w:lang w:eastAsia="es-PE"/>
          </w:rPr>
          <w:t>death</w:t>
        </w:r>
      </w:hyperlink>
      <w:r w:rsidRPr="00F660E2">
        <w:rPr>
          <w:szCs w:val="28"/>
          <w:lang w:eastAsia="es-PE"/>
        </w:rPr>
        <w:t xml:space="preserve"> in which some of those ultimately destined for </w:t>
      </w:r>
      <w:hyperlink r:id="rId26" w:tooltip="Heaven (Christianity)" w:history="1">
        <w:r w:rsidRPr="00F660E2">
          <w:rPr>
            <w:rFonts w:eastAsiaTheme="majorEastAsia"/>
            <w:szCs w:val="28"/>
            <w:lang w:eastAsia="es-PE"/>
          </w:rPr>
          <w:t>heaven</w:t>
        </w:r>
      </w:hyperlink>
      <w:r w:rsidRPr="00F660E2">
        <w:rPr>
          <w:szCs w:val="28"/>
          <w:lang w:eastAsia="es-PE"/>
        </w:rPr>
        <w:t xml:space="preserve"> must first ‘undergo purification, so as to achieve the holiness necessary to enter the joy of heaven,’ holding that ‘certain offenses can be forgiven in this age, but certain others in the age to come.’ ”</w:t>
      </w:r>
      <w:r w:rsidRPr="00F660E2">
        <w:rPr>
          <w:szCs w:val="28"/>
          <w:vertAlign w:val="superscript"/>
          <w:lang w:val="es-PE" w:eastAsia="es-PE"/>
        </w:rPr>
        <w:footnoteReference w:id="12"/>
      </w:r>
    </w:p>
    <w:p w:rsidR="00F660E2" w:rsidRPr="00F660E2" w:rsidRDefault="00F660E2" w:rsidP="00F660E2">
      <w:pPr>
        <w:rPr>
          <w:szCs w:val="28"/>
          <w:lang w:eastAsia="es-PE"/>
        </w:rPr>
      </w:pPr>
      <w:r w:rsidRPr="00F660E2">
        <w:rPr>
          <w:szCs w:val="28"/>
          <w:lang w:eastAsia="es-PE"/>
        </w:rPr>
        <w:t>Luther, following proper Church practice, called for an academic debate on indulgences. He was not a fanatical rebel bent on destroying the Church, “overturning the tables of the medieval church, exposing its venality, deep-rooted corruption, and spiritual malaise to restore the heart and soul of the Christian faith.”</w:t>
      </w:r>
      <w:r w:rsidRPr="00F660E2">
        <w:rPr>
          <w:szCs w:val="28"/>
          <w:vertAlign w:val="superscript"/>
          <w:lang w:val="es-PE" w:eastAsia="es-PE"/>
        </w:rPr>
        <w:footnoteReference w:id="13"/>
      </w:r>
      <w:r w:rsidRPr="00F660E2">
        <w:rPr>
          <w:szCs w:val="28"/>
          <w:lang w:eastAsia="es-PE"/>
        </w:rPr>
        <w:t xml:space="preserve"> As another distinguished Reformation scholar noted, “With the benefit of hindsight and more careful study into the period, we now understand that the medieval church from which Luther broke was </w:t>
      </w:r>
      <w:r w:rsidRPr="00F660E2">
        <w:rPr>
          <w:szCs w:val="28"/>
          <w:lang w:eastAsia="es-PE"/>
        </w:rPr>
        <w:lastRenderedPageBreak/>
        <w:t>far from a cesspool of iniquity. For all its institutional flaws, popular and religious devotion flourished on the eve of the Reformation. The problem with indulgences, as Luther knew, was not that they were resented but that were wildly popular.”</w:t>
      </w:r>
      <w:r w:rsidRPr="00F660E2">
        <w:rPr>
          <w:szCs w:val="28"/>
          <w:vertAlign w:val="superscript"/>
          <w:lang w:val="es-PE" w:eastAsia="es-PE"/>
        </w:rPr>
        <w:footnoteReference w:id="14"/>
      </w:r>
    </w:p>
    <w:p w:rsidR="00F660E2" w:rsidRPr="00F660E2" w:rsidRDefault="00F660E2" w:rsidP="00F660E2">
      <w:pPr>
        <w:rPr>
          <w:szCs w:val="28"/>
          <w:lang w:eastAsia="es-PE"/>
        </w:rPr>
      </w:pPr>
      <w:r w:rsidRPr="00F660E2">
        <w:rPr>
          <w:szCs w:val="28"/>
          <w:lang w:eastAsia="es-PE"/>
        </w:rPr>
        <w:t xml:space="preserve">Furthermore, reformists within the Church were not simply radical thinking German friars like Luther acting alone like some lonely atom shooting through the universe. Reformists in the late fifteenth century within the church were calling clearly to purify the church: end the common practice of many priests having concubines and children for example, stripping many in the ecclesiastical establishments of immense political and economic power and visible wealth which undermined their true calling. </w:t>
      </w:r>
    </w:p>
    <w:p w:rsidR="00F660E2" w:rsidRPr="00F660E2" w:rsidRDefault="00F660E2" w:rsidP="00F660E2">
      <w:pPr>
        <w:rPr>
          <w:szCs w:val="28"/>
          <w:lang w:eastAsia="es-PE"/>
        </w:rPr>
      </w:pPr>
      <w:r w:rsidRPr="00F660E2">
        <w:rPr>
          <w:szCs w:val="28"/>
          <w:lang w:eastAsia="es-PE"/>
        </w:rPr>
        <w:t xml:space="preserve">Among the reformers were not only clerics, such as Cardinal Ximenez de Cisneros in Spain, and the Dominican friar Girolamo Savonarola in Italy, but even monarchs such as Queen Isabela of Castile. Luther was not alone. </w:t>
      </w:r>
    </w:p>
    <w:p w:rsidR="00F660E2" w:rsidRPr="00F660E2" w:rsidRDefault="00F660E2" w:rsidP="00F660E2">
      <w:pPr>
        <w:rPr>
          <w:szCs w:val="28"/>
          <w:lang w:eastAsia="es-PE"/>
        </w:rPr>
      </w:pPr>
      <w:r w:rsidRPr="00F660E2">
        <w:rPr>
          <w:szCs w:val="28"/>
          <w:lang w:eastAsia="es-PE"/>
        </w:rPr>
        <w:t>But circumstances propelled him into the spotlight, and so Luther penned his ninety-five theses, or criticisms, of indulgences and posted them on the door of the Wittenberg Castle Church on October 31, 1517. And, but for the invention of the printing press a few decades earlier in the mid-fifteenth century, Luther’s academic treatise, in Latin, probably would have been read by a few scholars and theologians and forgotten.</w:t>
      </w:r>
    </w:p>
    <w:p w:rsidR="00F660E2" w:rsidRPr="00F660E2" w:rsidRDefault="00F660E2" w:rsidP="00F660E2">
      <w:pPr>
        <w:rPr>
          <w:szCs w:val="28"/>
          <w:lang w:eastAsia="es-PE"/>
        </w:rPr>
      </w:pPr>
      <w:r w:rsidRPr="00F660E2">
        <w:rPr>
          <w:szCs w:val="28"/>
          <w:lang w:eastAsia="es-PE"/>
        </w:rPr>
        <w:t xml:space="preserve">The </w:t>
      </w:r>
      <w:r w:rsidRPr="00F660E2">
        <w:rPr>
          <w:i/>
          <w:szCs w:val="28"/>
          <w:lang w:eastAsia="es-PE"/>
        </w:rPr>
        <w:t>95 Theses</w:t>
      </w:r>
      <w:r w:rsidRPr="00F660E2">
        <w:rPr>
          <w:szCs w:val="28"/>
          <w:lang w:eastAsia="es-PE"/>
        </w:rPr>
        <w:t xml:space="preserve"> were soon translated into German and printed. Within two weeks of the printing, they spread across Germany. Luther’s 95 theses were the early sixteenth century’s breaking news of the twenty-first century, born on the newly emerging printing revolution, the Facebook of 500 years ago.</w:t>
      </w:r>
    </w:p>
    <w:p w:rsidR="00F660E2" w:rsidRPr="00F660E2" w:rsidRDefault="00F660E2" w:rsidP="00F660E2">
      <w:pPr>
        <w:rPr>
          <w:szCs w:val="28"/>
          <w:lang w:eastAsia="es-PE"/>
        </w:rPr>
      </w:pPr>
    </w:p>
    <w:p w:rsidR="00F660E2" w:rsidRPr="00F660E2" w:rsidRDefault="00F660E2" w:rsidP="00F660E2">
      <w:pPr>
        <w:rPr>
          <w:rFonts w:eastAsiaTheme="majorEastAsia" w:cstheme="majorBidi"/>
          <w:szCs w:val="28"/>
          <w:lang w:eastAsia="es-PE"/>
        </w:rPr>
      </w:pPr>
      <w:bookmarkStart w:id="2" w:name="_Toc488399638"/>
      <w:r w:rsidRPr="00F660E2">
        <w:rPr>
          <w:rFonts w:eastAsiaTheme="majorEastAsia" w:cstheme="majorBidi"/>
          <w:szCs w:val="28"/>
          <w:lang w:eastAsia="es-PE"/>
        </w:rPr>
        <w:t>Augsburg, 1518</w:t>
      </w:r>
      <w:bookmarkEnd w:id="2"/>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 xml:space="preserve">The Augustinian order, to which as we know, he belonged was having its regular meeting in the spring, 1518, and Luther was asked to debate the theological issues he had raised in his 95 theses at that meeting. Later that year, in the fall of 1518, he underwent “an excruciating interview with Cardinal Cajetan [Tomas de Vio] in Augsburg that fall. It was so painful, “Kittleson recalled </w:t>
      </w:r>
      <w:r w:rsidRPr="00F660E2">
        <w:rPr>
          <w:szCs w:val="28"/>
          <w:lang w:eastAsia="es-PE"/>
        </w:rPr>
        <w:lastRenderedPageBreak/>
        <w:t>for us, “that he could not even ride a horse afterward because his bowels ran freely from morning to night from the stress.”</w:t>
      </w:r>
      <w:r w:rsidRPr="00F660E2">
        <w:rPr>
          <w:szCs w:val="28"/>
          <w:vertAlign w:val="superscript"/>
          <w:lang w:val="es-PE" w:eastAsia="es-PE"/>
        </w:rPr>
        <w:footnoteReference w:id="15"/>
      </w:r>
      <w:r w:rsidRPr="00F660E2">
        <w:rPr>
          <w:szCs w:val="28"/>
          <w:lang w:eastAsia="es-PE"/>
        </w:rPr>
        <w:t xml:space="preserve"> This is a lot of stress!</w:t>
      </w:r>
    </w:p>
    <w:p w:rsidR="00F660E2" w:rsidRPr="00F660E2" w:rsidRDefault="00F660E2" w:rsidP="00F660E2">
      <w:pPr>
        <w:rPr>
          <w:szCs w:val="28"/>
          <w:lang w:eastAsia="es-PE"/>
        </w:rPr>
      </w:pPr>
      <w:r w:rsidRPr="00F660E2">
        <w:rPr>
          <w:szCs w:val="28"/>
          <w:lang w:eastAsia="es-PE"/>
        </w:rPr>
        <w:t>Luther was now challenging the authority of the Church directly, and the Church, through the Papacy and its emissaries, responded in kind. In fact, legal proceedings had started in church courts against Luther for his criticism of indulgences.</w:t>
      </w:r>
      <w:r w:rsidRPr="00F660E2">
        <w:rPr>
          <w:szCs w:val="28"/>
          <w:vertAlign w:val="superscript"/>
          <w:lang w:val="es-PE" w:eastAsia="es-PE"/>
        </w:rPr>
        <w:footnoteReference w:id="16"/>
      </w:r>
    </w:p>
    <w:p w:rsidR="00F660E2" w:rsidRPr="00F660E2" w:rsidRDefault="00F660E2" w:rsidP="00F660E2">
      <w:pPr>
        <w:rPr>
          <w:szCs w:val="28"/>
          <w:lang w:eastAsia="es-PE"/>
        </w:rPr>
      </w:pPr>
      <w:r w:rsidRPr="00F660E2">
        <w:rPr>
          <w:szCs w:val="28"/>
          <w:lang w:eastAsia="es-PE"/>
        </w:rPr>
        <w:t>Luther was called to Rome to stand trial but he refused to go, for fear of his life and, equally important, for not being treated fairly by a church hierarchy he knew was wrong on some fundamentals of Christianity.</w:t>
      </w:r>
    </w:p>
    <w:p w:rsidR="00F660E2" w:rsidRPr="00F660E2" w:rsidRDefault="00F660E2" w:rsidP="00F660E2">
      <w:pPr>
        <w:rPr>
          <w:szCs w:val="28"/>
          <w:lang w:eastAsia="es-PE"/>
        </w:rPr>
      </w:pPr>
      <w:r w:rsidRPr="00F660E2">
        <w:rPr>
          <w:szCs w:val="28"/>
          <w:lang w:eastAsia="es-PE"/>
        </w:rPr>
        <w:t>At play here was another factor, largely secular in nature, but equally powerful: the developing sense of German nationalism which you read about above. Germans were in the main loathe to send their tithes and moneys to Italians</w:t>
      </w:r>
      <w:bookmarkStart w:id="3" w:name="_GoBack"/>
      <w:bookmarkEnd w:id="3"/>
      <w:r w:rsidRPr="00F660E2">
        <w:rPr>
          <w:szCs w:val="28"/>
          <w:lang w:eastAsia="es-PE"/>
        </w:rPr>
        <w:t xml:space="preserve"> in Rome, and Luther’s meteoric rise gave them a good broom to brush back the Papacy’s long arm interested in cash to reconstruct St. Peter’s Cathedral. Germany’s resources should stay in Germany. And Luther had a good benefactor, Frederick the Wise, the Elector of Saxony, or effectively ruler, of the German province of Saxony. </w:t>
      </w:r>
    </w:p>
    <w:p w:rsidR="00F660E2" w:rsidRPr="00F660E2" w:rsidRDefault="00F660E2" w:rsidP="00F660E2">
      <w:pPr>
        <w:rPr>
          <w:szCs w:val="28"/>
          <w:lang w:eastAsia="es-PE"/>
        </w:rPr>
      </w:pPr>
      <w:r w:rsidRPr="00F660E2">
        <w:rPr>
          <w:szCs w:val="28"/>
          <w:lang w:eastAsia="es-PE"/>
        </w:rPr>
        <w:t>Frederick was Luther’s prince and the benefactor of the University of Wittenberg, and he promised Luther safe conduct to and from Augsburg for his interview with Cardinal Cajetan.</w:t>
      </w:r>
    </w:p>
    <w:p w:rsidR="00F660E2" w:rsidRPr="00F660E2" w:rsidRDefault="00F660E2" w:rsidP="00F660E2">
      <w:pPr>
        <w:rPr>
          <w:szCs w:val="28"/>
          <w:lang w:eastAsia="es-PE"/>
        </w:rPr>
      </w:pPr>
      <w:r w:rsidRPr="00F660E2">
        <w:rPr>
          <w:szCs w:val="28"/>
          <w:lang w:eastAsia="es-PE"/>
        </w:rPr>
        <w:t>Luther accordingly proceeded to Augsburg in humble garb, and on foot, till illness forced him within a short distance from the city to take a carriage.</w:t>
      </w:r>
      <w:r w:rsidRPr="00F660E2">
        <w:rPr>
          <w:szCs w:val="28"/>
          <w:vertAlign w:val="superscript"/>
          <w:lang w:val="es-PE" w:eastAsia="es-PE"/>
        </w:rPr>
        <w:footnoteReference w:id="17"/>
      </w:r>
      <w:r w:rsidRPr="00F660E2">
        <w:rPr>
          <w:szCs w:val="28"/>
          <w:lang w:eastAsia="es-PE"/>
        </w:rPr>
        <w:t xml:space="preserve"> He was accompanied by a young monk and pupil, Leonard Baier.</w:t>
      </w:r>
      <w:r w:rsidRPr="00F660E2">
        <w:rPr>
          <w:szCs w:val="28"/>
          <w:vertAlign w:val="superscript"/>
          <w:lang w:val="es-PE" w:eastAsia="es-PE"/>
        </w:rPr>
        <w:footnoteReference w:id="18"/>
      </w:r>
      <w:r w:rsidRPr="00F660E2">
        <w:rPr>
          <w:szCs w:val="28"/>
          <w:lang w:eastAsia="es-PE"/>
        </w:rPr>
        <w:t xml:space="preserve"> He arrived Oct. 7, 1518, and was kindly received by Dr. Conrad Peutinger and two counselors of the Elector, who advised him to behave with prudence, and to observe the customary rules of etiquette. Everybody was anxious to see the man who, like a second Herostratus, had kindled such a flame. </w:t>
      </w:r>
      <w:r w:rsidRPr="00F660E2">
        <w:rPr>
          <w:szCs w:val="28"/>
          <w:vertAlign w:val="superscript"/>
          <w:lang w:val="es-PE" w:eastAsia="es-PE"/>
        </w:rPr>
        <w:footnoteReference w:id="19"/>
      </w:r>
    </w:p>
    <w:p w:rsidR="00F660E2" w:rsidRPr="00F660E2" w:rsidRDefault="00F660E2" w:rsidP="00F660E2">
      <w:pPr>
        <w:rPr>
          <w:szCs w:val="28"/>
          <w:lang w:eastAsia="es-PE"/>
        </w:rPr>
      </w:pPr>
      <w:r w:rsidRPr="00F660E2">
        <w:rPr>
          <w:szCs w:val="28"/>
          <w:lang w:eastAsia="es-PE"/>
        </w:rPr>
        <w:t xml:space="preserve">On Oct. 11, he received the letter of safe-conduct; and on the next day he appeared before the papal legate, Cardinal Cajetan (Thomas de Vio of Gaëta), who represented the Pope at the German </w:t>
      </w:r>
      <w:r w:rsidRPr="00F660E2">
        <w:rPr>
          <w:szCs w:val="28"/>
          <w:lang w:eastAsia="es-PE"/>
        </w:rPr>
        <w:lastRenderedPageBreak/>
        <w:t xml:space="preserve">Diet. The Pope was waging a war against the Turks and needed German consent, and taxes, for this war against the infidels. </w:t>
      </w:r>
    </w:p>
    <w:p w:rsidR="00F660E2" w:rsidRPr="00F660E2" w:rsidRDefault="00F660E2" w:rsidP="00F660E2">
      <w:pPr>
        <w:rPr>
          <w:szCs w:val="28"/>
          <w:lang w:eastAsia="es-PE"/>
        </w:rPr>
      </w:pPr>
      <w:r w:rsidRPr="00F660E2">
        <w:rPr>
          <w:szCs w:val="28"/>
          <w:lang w:eastAsia="es-PE"/>
        </w:rPr>
        <w:t>Cajetan was man of great learning and moral integrity, but fond of pomp and ostentation. There was a great contrast between the Italian cardinal and the German monk, the shrewd diplomat and the frank scholar; the expounder and defender of mediaeval scholasticism, and the champion of modern biblical theology; the man of church authority, and the advocate of personal freedom. The clash between the two of them was probably inevitable.</w:t>
      </w:r>
    </w:p>
    <w:p w:rsidR="00F660E2" w:rsidRPr="00F660E2" w:rsidRDefault="00F660E2" w:rsidP="00F660E2">
      <w:pPr>
        <w:rPr>
          <w:szCs w:val="28"/>
          <w:lang w:eastAsia="es-PE"/>
        </w:rPr>
      </w:pPr>
      <w:r w:rsidRPr="00F660E2">
        <w:rPr>
          <w:szCs w:val="28"/>
          <w:lang w:eastAsia="es-PE"/>
        </w:rPr>
        <w:t xml:space="preserve">They had three interviews (Oct. 12, 13, 14). Cajetan treated Luther with condescending courtesy, and assured him of his friendship. But he demanded that Luther recant, that being an admission and retraction of his errors, and, furthermore, absolutely submit to the Pope. </w:t>
      </w:r>
    </w:p>
    <w:p w:rsidR="00F660E2" w:rsidRPr="00F660E2" w:rsidRDefault="00F660E2" w:rsidP="00F660E2">
      <w:pPr>
        <w:rPr>
          <w:szCs w:val="28"/>
          <w:lang w:eastAsia="es-PE"/>
        </w:rPr>
      </w:pPr>
      <w:r w:rsidRPr="00F660E2">
        <w:rPr>
          <w:szCs w:val="28"/>
          <w:lang w:eastAsia="es-PE"/>
        </w:rPr>
        <w:t>Luther just as resolutely refused. He declared that he could do nothing against his conscience; that one must obey God rather than man [for example, the Pope]; that he had the Scripture on his side; that even Peter was once reproved by Paul for misconduct (</w:t>
      </w:r>
      <w:bookmarkStart w:id="4" w:name="_Gal_2_11_0_0"/>
      <w:r w:rsidRPr="00F660E2">
        <w:rPr>
          <w:szCs w:val="28"/>
          <w:lang w:val="es-PE" w:eastAsia="es-PE"/>
        </w:rPr>
        <w:fldChar w:fldCharType="begin"/>
      </w:r>
      <w:r w:rsidRPr="00F660E2">
        <w:rPr>
          <w:szCs w:val="28"/>
          <w:lang w:eastAsia="es-PE"/>
        </w:rPr>
        <w:instrText xml:space="preserve"> HYPERLINK "https://www.ccel.org/study/Galatians_2:11" </w:instrText>
      </w:r>
      <w:r w:rsidRPr="00F660E2">
        <w:rPr>
          <w:szCs w:val="28"/>
          <w:lang w:val="es-PE" w:eastAsia="es-PE"/>
        </w:rPr>
        <w:fldChar w:fldCharType="separate"/>
      </w:r>
      <w:r w:rsidRPr="00F660E2">
        <w:rPr>
          <w:szCs w:val="28"/>
          <w:lang w:eastAsia="es-PE"/>
        </w:rPr>
        <w:t>Gal. 2:11</w:t>
      </w:r>
      <w:r w:rsidRPr="00F660E2">
        <w:rPr>
          <w:szCs w:val="28"/>
          <w:lang w:val="es-PE" w:eastAsia="es-PE"/>
        </w:rPr>
        <w:fldChar w:fldCharType="end"/>
      </w:r>
      <w:bookmarkEnd w:id="4"/>
      <w:r w:rsidRPr="00F660E2">
        <w:rPr>
          <w:szCs w:val="28"/>
          <w:lang w:eastAsia="es-PE"/>
        </w:rPr>
        <w:t xml:space="preserve">), and that surely his successor was not infallible. </w:t>
      </w:r>
    </w:p>
    <w:p w:rsidR="00F660E2" w:rsidRPr="00F660E2" w:rsidRDefault="00F660E2" w:rsidP="00F660E2">
      <w:pPr>
        <w:rPr>
          <w:szCs w:val="28"/>
          <w:lang w:eastAsia="es-PE"/>
        </w:rPr>
      </w:pPr>
      <w:r w:rsidRPr="00F660E2">
        <w:rPr>
          <w:szCs w:val="28"/>
          <w:lang w:eastAsia="es-PE"/>
        </w:rPr>
        <w:t>Still — out of habit perhaps and obedience to authority--he asked the cardinal to intercede with Pope Leo X, that he might not harshly condemn him. But Luther would not recant.</w:t>
      </w:r>
    </w:p>
    <w:p w:rsidR="00F660E2" w:rsidRPr="00F660E2" w:rsidRDefault="00F660E2" w:rsidP="00F660E2">
      <w:pPr>
        <w:rPr>
          <w:szCs w:val="28"/>
          <w:lang w:eastAsia="es-PE"/>
        </w:rPr>
      </w:pPr>
      <w:r w:rsidRPr="00F660E2">
        <w:rPr>
          <w:szCs w:val="28"/>
          <w:lang w:eastAsia="es-PE"/>
        </w:rPr>
        <w:t xml:space="preserve">Cajetan threatened him with excommunication, and dismissed him with the words: "Revoke [Recant], or do not come again into my presence." </w:t>
      </w:r>
    </w:p>
    <w:p w:rsidR="00F660E2" w:rsidRPr="00F660E2" w:rsidRDefault="00F660E2" w:rsidP="00F660E2">
      <w:pPr>
        <w:rPr>
          <w:szCs w:val="28"/>
          <w:lang w:eastAsia="es-PE"/>
        </w:rPr>
      </w:pPr>
      <w:r w:rsidRPr="00F660E2">
        <w:rPr>
          <w:szCs w:val="28"/>
          <w:lang w:eastAsia="es-PE"/>
        </w:rPr>
        <w:t>He urged Johannes von Staupitz, Luther’s Augustinian superior, to extricate a repudiation from Luther, but von Staupitz and Wenceslaus Link, Luther’s Saxon lawyer, were unsuccessful. Cajetan returned to Rome and Luther, afraid for his life and with the aid of friends who provided him with an escort, made his escape from Augsburg, through a small gate in the city wall, in the night of the October 20, on a hard-trotting hack, without pantaloons, boots, or spurs. He rode on the first day as far as the town of Manheim without stopping, and fell utterly exhausted upon the straw in a stable.</w:t>
      </w:r>
    </w:p>
    <w:p w:rsidR="00F660E2" w:rsidRPr="00F660E2" w:rsidRDefault="00F660E2" w:rsidP="00F660E2">
      <w:pPr>
        <w:rPr>
          <w:b/>
          <w:szCs w:val="28"/>
          <w:lang w:eastAsia="es-PE"/>
        </w:rPr>
      </w:pPr>
      <w:r w:rsidRPr="00F660E2">
        <w:rPr>
          <w:szCs w:val="28"/>
          <w:lang w:eastAsia="es-PE"/>
        </w:rPr>
        <w:t xml:space="preserve">He reached Wittenberg, in good spirits, on the first anniversary of his Ninety-Five Theses. He forthwith published a report of his meeting with Cajetan with a justification of his conduct. He also wrote (Nov. 19) a long and very eloquent letter to the Elector, </w:t>
      </w:r>
      <w:r w:rsidRPr="00F660E2">
        <w:rPr>
          <w:szCs w:val="28"/>
          <w:lang w:eastAsia="es-PE"/>
        </w:rPr>
        <w:lastRenderedPageBreak/>
        <w:t>exposing the unfairness of Cajetan, who had misrepresented the proceedings, and demanded from the Elector the delivery of Luther to Rome or his expulsion from Saxony</w:t>
      </w:r>
      <w:r w:rsidRPr="00F660E2">
        <w:rPr>
          <w:b/>
          <w:szCs w:val="28"/>
          <w:lang w:eastAsia="es-PE"/>
        </w:rPr>
        <w:t>.</w:t>
      </w:r>
    </w:p>
    <w:p w:rsidR="00F660E2" w:rsidRPr="00F660E2" w:rsidRDefault="00F660E2" w:rsidP="00F660E2">
      <w:pPr>
        <w:rPr>
          <w:szCs w:val="28"/>
          <w:lang w:eastAsia="es-PE"/>
        </w:rPr>
      </w:pPr>
      <w:r w:rsidRPr="00F660E2">
        <w:rPr>
          <w:szCs w:val="28"/>
          <w:lang w:eastAsia="es-PE"/>
        </w:rPr>
        <w:t>Soon afterwards, Nov. 28, Luther formally and solemnly appealed from the Pope to a general council, and thus anticipated the papal sentence of excommunication. He expected every day maledictions from Rome, and was prepared for exile or any other fate. He was already tormented with the thought that the Pope might be the Anti-Christ spoken of by St. Paul in the Second Epistle to the Thessalonians, and asked his friend Link (Dec. 11) to give him his opinion on the subject.</w:t>
      </w:r>
    </w:p>
    <w:p w:rsidR="00F660E2" w:rsidRPr="00F660E2" w:rsidRDefault="00F660E2" w:rsidP="00F660E2">
      <w:pPr>
        <w:rPr>
          <w:szCs w:val="28"/>
          <w:lang w:eastAsia="es-PE"/>
        </w:rPr>
      </w:pPr>
      <w:r w:rsidRPr="00F660E2">
        <w:rPr>
          <w:szCs w:val="28"/>
          <w:lang w:eastAsia="es-PE"/>
        </w:rPr>
        <w:t xml:space="preserve">Ultimately Luther lost faith that the Pope would call a general council. Luther then based his appeal solely to the Scriptures and his conscience. The Elector urged him to moderation through Spalatin, but Luther declared: </w:t>
      </w:r>
    </w:p>
    <w:p w:rsidR="00F660E2" w:rsidRPr="00F660E2" w:rsidRDefault="00F660E2" w:rsidP="00F660E2">
      <w:pPr>
        <w:rPr>
          <w:szCs w:val="28"/>
          <w:lang w:eastAsia="es-PE"/>
        </w:rPr>
      </w:pPr>
      <w:r w:rsidRPr="00F660E2">
        <w:rPr>
          <w:szCs w:val="28"/>
          <w:lang w:eastAsia="es-PE"/>
        </w:rPr>
        <w:t xml:space="preserve">"The more those Romish grandees rage, and meditate the use of force, the less do I fear them, and shall feel all the more free to fight against the serpents of Rome. I am prepared for all, and await the judgment of God." </w:t>
      </w:r>
      <w:r w:rsidRPr="00F660E2">
        <w:rPr>
          <w:szCs w:val="28"/>
          <w:vertAlign w:val="superscript"/>
          <w:lang w:val="es-PE" w:eastAsia="es-PE"/>
        </w:rPr>
        <w:footnoteReference w:id="20"/>
      </w:r>
      <w:r w:rsidRPr="00F660E2">
        <w:rPr>
          <w:szCs w:val="28"/>
          <w:lang w:eastAsia="es-PE"/>
        </w:rPr>
        <w:t xml:space="preserve"> </w:t>
      </w:r>
    </w:p>
    <w:p w:rsidR="00F660E2" w:rsidRPr="00F660E2" w:rsidRDefault="00F660E2" w:rsidP="00F660E2">
      <w:pPr>
        <w:rPr>
          <w:szCs w:val="28"/>
          <w:lang w:eastAsia="es-PE"/>
        </w:rPr>
      </w:pPr>
      <w:r w:rsidRPr="00F660E2">
        <w:rPr>
          <w:szCs w:val="28"/>
          <w:lang w:eastAsia="es-PE"/>
        </w:rPr>
        <w:t>Luther was in fact burning his bridges as he crossed to the other side. Security, but error, lay with the Church. Only God knew where Luther’s decisions might lead him on the other side of the river.</w:t>
      </w:r>
    </w:p>
    <w:p w:rsidR="00F660E2" w:rsidRPr="00F660E2" w:rsidRDefault="00F660E2" w:rsidP="00F660E2">
      <w:pPr>
        <w:rPr>
          <w:rFonts w:eastAsiaTheme="majorEastAsia" w:cstheme="majorBidi"/>
          <w:szCs w:val="28"/>
          <w:lang w:eastAsia="es-PE"/>
        </w:rPr>
      </w:pPr>
    </w:p>
    <w:p w:rsidR="00F660E2" w:rsidRPr="00F660E2" w:rsidRDefault="00F660E2" w:rsidP="00F660E2">
      <w:pPr>
        <w:rPr>
          <w:rFonts w:eastAsiaTheme="majorEastAsia" w:cstheme="majorBidi"/>
          <w:szCs w:val="28"/>
          <w:lang w:eastAsia="es-PE"/>
        </w:rPr>
      </w:pPr>
      <w:bookmarkStart w:id="5" w:name="_Toc488399639"/>
      <w:r w:rsidRPr="00F660E2">
        <w:rPr>
          <w:rFonts w:eastAsiaTheme="majorEastAsia" w:cstheme="majorBidi"/>
          <w:szCs w:val="28"/>
          <w:lang w:eastAsia="es-PE"/>
        </w:rPr>
        <w:t>Leipzig, 1519</w:t>
      </w:r>
      <w:bookmarkEnd w:id="5"/>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The next event in this seemingly inexorable “chain reaction” as James Kittleson wrote took place in the middle of the summer of 1519 in the city of Leipzig.</w:t>
      </w:r>
      <w:r w:rsidRPr="00F660E2">
        <w:rPr>
          <w:szCs w:val="28"/>
          <w:vertAlign w:val="superscript"/>
          <w:lang w:val="es-PE" w:eastAsia="es-PE"/>
        </w:rPr>
        <w:footnoteReference w:id="21"/>
      </w:r>
      <w:r w:rsidRPr="00F660E2">
        <w:rPr>
          <w:szCs w:val="28"/>
          <w:lang w:eastAsia="es-PE"/>
        </w:rPr>
        <w:t xml:space="preserve"> Luther was in fact being carried along in “a long but powerful chain reaction [rather] than a sudden explosion.”</w:t>
      </w:r>
      <w:r w:rsidRPr="00F660E2">
        <w:rPr>
          <w:szCs w:val="28"/>
          <w:vertAlign w:val="superscript"/>
          <w:lang w:val="es-PE" w:eastAsia="es-PE"/>
        </w:rPr>
        <w:footnoteReference w:id="22"/>
      </w:r>
    </w:p>
    <w:p w:rsidR="00F660E2" w:rsidRPr="00F660E2" w:rsidRDefault="00F660E2" w:rsidP="00F660E2">
      <w:pPr>
        <w:rPr>
          <w:szCs w:val="28"/>
          <w:lang w:eastAsia="es-PE"/>
        </w:rPr>
      </w:pPr>
      <w:r w:rsidRPr="00F660E2">
        <w:rPr>
          <w:szCs w:val="28"/>
          <w:lang w:eastAsia="es-PE"/>
        </w:rPr>
        <w:t>A chain reaction, let’s quickly recall, is most often associated in the modern (20</w:t>
      </w:r>
      <w:r w:rsidRPr="00F660E2">
        <w:rPr>
          <w:szCs w:val="28"/>
          <w:vertAlign w:val="superscript"/>
          <w:lang w:eastAsia="es-PE"/>
        </w:rPr>
        <w:t>th</w:t>
      </w:r>
      <w:r w:rsidRPr="00F660E2">
        <w:rPr>
          <w:szCs w:val="28"/>
          <w:lang w:eastAsia="es-PE"/>
        </w:rPr>
        <w:t>-21</w:t>
      </w:r>
      <w:r w:rsidRPr="00F660E2">
        <w:rPr>
          <w:szCs w:val="28"/>
          <w:vertAlign w:val="superscript"/>
          <w:lang w:eastAsia="es-PE"/>
        </w:rPr>
        <w:t>st</w:t>
      </w:r>
      <w:r w:rsidRPr="00F660E2">
        <w:rPr>
          <w:szCs w:val="28"/>
          <w:lang w:eastAsia="es-PE"/>
        </w:rPr>
        <w:t xml:space="preserve"> centuries) world with an atomic explosion. Energy is released at an exponential rate as atoms undergo fission and the energy is both explosive and destructive. Leaving nuclear </w:t>
      </w:r>
      <w:r w:rsidRPr="00F660E2">
        <w:rPr>
          <w:szCs w:val="28"/>
          <w:lang w:eastAsia="es-PE"/>
        </w:rPr>
        <w:lastRenderedPageBreak/>
        <w:t xml:space="preserve">physics aside (none of which I understand), Luther’s claims and writings, let me suggest, created </w:t>
      </w:r>
      <w:r w:rsidRPr="00F660E2">
        <w:rPr>
          <w:i/>
          <w:szCs w:val="28"/>
          <w:lang w:eastAsia="es-PE"/>
        </w:rPr>
        <w:t>both</w:t>
      </w:r>
      <w:r w:rsidRPr="00F660E2">
        <w:rPr>
          <w:szCs w:val="28"/>
          <w:lang w:eastAsia="es-PE"/>
        </w:rPr>
        <w:t xml:space="preserve"> a chain reaction and were explosive, if we measure historical explosions in terms of years, and possibly decades, rather than nanoseconds as in the world of pure science.</w:t>
      </w:r>
    </w:p>
    <w:p w:rsidR="00F660E2" w:rsidRPr="00F660E2" w:rsidRDefault="00F660E2" w:rsidP="00F660E2">
      <w:pPr>
        <w:rPr>
          <w:szCs w:val="28"/>
          <w:lang w:eastAsia="es-PE"/>
        </w:rPr>
      </w:pPr>
      <w:r w:rsidRPr="00F660E2">
        <w:rPr>
          <w:szCs w:val="28"/>
          <w:lang w:eastAsia="es-PE"/>
        </w:rPr>
        <w:t>The Leipzig debate featured several different theologians, but at the core was Luther himself and Johannes Eck, one of Luther’s major critics, especially of the ninety-five theses.</w:t>
      </w:r>
      <w:r w:rsidRPr="00F660E2">
        <w:rPr>
          <w:szCs w:val="28"/>
          <w:vertAlign w:val="superscript"/>
          <w:lang w:val="es-PE" w:eastAsia="es-PE"/>
        </w:rPr>
        <w:footnoteReference w:id="23"/>
      </w:r>
    </w:p>
    <w:p w:rsidR="00F660E2" w:rsidRPr="00F660E2" w:rsidRDefault="00F660E2" w:rsidP="00F660E2">
      <w:pPr>
        <w:rPr>
          <w:szCs w:val="28"/>
          <w:lang w:eastAsia="es-PE"/>
        </w:rPr>
      </w:pPr>
      <w:r w:rsidRPr="00F660E2">
        <w:rPr>
          <w:szCs w:val="28"/>
          <w:lang w:eastAsia="es-PE"/>
        </w:rPr>
        <w:t>Since we are focusing on the kick off of the Reformation, or roughly from when the ninety-five theses were posted to about 1521 when the battle lines between reformers, led by Luther, and the Church were becoming clear to all, let’s borrow a couple of excellent paragraphs, again from Kittleson, who sets the stage.</w:t>
      </w:r>
    </w:p>
    <w:p w:rsidR="00F660E2" w:rsidRPr="00F660E2" w:rsidRDefault="00F660E2" w:rsidP="00F660E2">
      <w:pPr>
        <w:rPr>
          <w:szCs w:val="28"/>
          <w:lang w:eastAsia="es-PE"/>
        </w:rPr>
      </w:pPr>
      <w:r w:rsidRPr="00F660E2">
        <w:rPr>
          <w:szCs w:val="28"/>
          <w:lang w:eastAsia="es-PE"/>
        </w:rPr>
        <w:t xml:space="preserve">“On the heels of this change [Ninety-Five Theses beginning to go sixteenth century viral], Luther no longer understood the church as the institution that boasted apostolic succession, but instead as the </w:t>
      </w:r>
      <w:r w:rsidRPr="00F660E2">
        <w:rPr>
          <w:i/>
          <w:szCs w:val="28"/>
          <w:lang w:eastAsia="es-PE"/>
        </w:rPr>
        <w:t>community of those who had been given faith</w:t>
      </w:r>
      <w:r w:rsidRPr="00F660E2">
        <w:rPr>
          <w:szCs w:val="28"/>
          <w:lang w:eastAsia="es-PE"/>
        </w:rPr>
        <w:t>. [italics added and below in this quote].”</w:t>
      </w:r>
    </w:p>
    <w:p w:rsidR="00F660E2" w:rsidRPr="00F660E2" w:rsidRDefault="00F660E2" w:rsidP="00F660E2">
      <w:pPr>
        <w:rPr>
          <w:szCs w:val="28"/>
          <w:lang w:eastAsia="es-PE"/>
        </w:rPr>
      </w:pPr>
      <w:r w:rsidRPr="00F660E2">
        <w:rPr>
          <w:szCs w:val="28"/>
          <w:lang w:eastAsia="es-PE"/>
        </w:rPr>
        <w:t>“Salvation came no longer by the sacraments as such; instead the sacraments nurtured God-given faith. The idea that human beings had enough spark of goodness to seek out God, commonly taught in the Middle Ages, he proclaimed as coming from ‘fools’ and ‘pig theologians.’”</w:t>
      </w:r>
    </w:p>
    <w:p w:rsidR="00F660E2" w:rsidRPr="00F660E2" w:rsidRDefault="00F660E2" w:rsidP="00F660E2">
      <w:pPr>
        <w:rPr>
          <w:szCs w:val="28"/>
          <w:lang w:eastAsia="es-PE"/>
        </w:rPr>
      </w:pPr>
      <w:r w:rsidRPr="00F660E2">
        <w:rPr>
          <w:szCs w:val="28"/>
          <w:lang w:eastAsia="es-PE"/>
        </w:rPr>
        <w:t xml:space="preserve">“Humility for him was no longer a virtue that earned grace but a necessary response to the gift of grace. </w:t>
      </w:r>
      <w:r w:rsidRPr="00F660E2">
        <w:rPr>
          <w:i/>
          <w:szCs w:val="28"/>
          <w:lang w:eastAsia="es-PE"/>
        </w:rPr>
        <w:t>Faith for him no longer consisted of assenting to the church’s teachings but of trusting the promises of God and merits of Chris</w:t>
      </w:r>
      <w:r w:rsidRPr="00F660E2">
        <w:rPr>
          <w:szCs w:val="28"/>
          <w:lang w:eastAsia="es-PE"/>
        </w:rPr>
        <w:t>t.”</w:t>
      </w:r>
    </w:p>
    <w:p w:rsidR="00F660E2" w:rsidRPr="00F660E2" w:rsidRDefault="00F660E2" w:rsidP="00F660E2">
      <w:pPr>
        <w:rPr>
          <w:szCs w:val="28"/>
          <w:lang w:eastAsia="es-PE"/>
        </w:rPr>
      </w:pPr>
      <w:r w:rsidRPr="00F660E2">
        <w:rPr>
          <w:szCs w:val="28"/>
          <w:lang w:eastAsia="es-PE"/>
        </w:rPr>
        <w:t>“In short, Luther found himself working a revolution that contradicted almost everything he had been taught. It lay there, ready to explode, and even Luther was unaware of how loudly it would do so.”</w:t>
      </w:r>
    </w:p>
    <w:p w:rsidR="00F660E2" w:rsidRPr="00F660E2" w:rsidRDefault="00F660E2" w:rsidP="00F660E2">
      <w:pPr>
        <w:rPr>
          <w:szCs w:val="28"/>
          <w:lang w:eastAsia="es-PE"/>
        </w:rPr>
      </w:pPr>
      <w:r w:rsidRPr="00F660E2">
        <w:rPr>
          <w:szCs w:val="28"/>
          <w:lang w:eastAsia="es-PE"/>
        </w:rPr>
        <w:t xml:space="preserve">What to then had been a largely academic debate among theologians now spilled out onto a much larger stage at Leipzig. The Leipzig Debate as it became known lasted only three weeks, from June 27 to July 15, 1519. At issue in the debates were not only indulgences, but also free will, the nature and authority of the papacy, the superiority of Scripture over Popes and Councils, the </w:t>
      </w:r>
      <w:r w:rsidRPr="00F660E2">
        <w:rPr>
          <w:szCs w:val="28"/>
          <w:lang w:eastAsia="es-PE"/>
        </w:rPr>
        <w:lastRenderedPageBreak/>
        <w:t>existence of Purgatory, penance, justification and the nature and prevalence of sin among many.</w:t>
      </w:r>
      <w:r w:rsidRPr="00F660E2">
        <w:rPr>
          <w:szCs w:val="28"/>
          <w:vertAlign w:val="superscript"/>
          <w:lang w:val="es-PE" w:eastAsia="es-PE"/>
        </w:rPr>
        <w:footnoteReference w:id="24"/>
      </w:r>
    </w:p>
    <w:p w:rsidR="00F660E2" w:rsidRPr="00F660E2" w:rsidRDefault="00F660E2" w:rsidP="00F660E2">
      <w:pPr>
        <w:rPr>
          <w:szCs w:val="28"/>
          <w:lang w:eastAsia="es-PE"/>
        </w:rPr>
      </w:pPr>
      <w:r w:rsidRPr="00F660E2">
        <w:rPr>
          <w:szCs w:val="28"/>
          <w:lang w:eastAsia="es-PE"/>
        </w:rPr>
        <w:t>In a sermon on the eve of the debate in Leipzig, Luther emphasized the centrality of faith in Christ as the basis for salvation, not papal fiat. That most certainly was waving the red cape in front of the Papal Bull.</w:t>
      </w:r>
    </w:p>
    <w:p w:rsidR="00F660E2" w:rsidRPr="00F660E2" w:rsidRDefault="00F660E2" w:rsidP="00F660E2">
      <w:pPr>
        <w:rPr>
          <w:szCs w:val="28"/>
          <w:lang w:eastAsia="es-PE"/>
        </w:rPr>
      </w:pPr>
      <w:r w:rsidRPr="00F660E2">
        <w:rPr>
          <w:szCs w:val="28"/>
          <w:lang w:eastAsia="es-PE"/>
        </w:rPr>
        <w:t>In the debates that followed, Luther moved further and further to denying Papal and conciliar authority, as well as church traditions and canon law. What remained infallible for Luther was Scripture and thus it was finally authoritative for the church.</w:t>
      </w:r>
    </w:p>
    <w:p w:rsidR="00F660E2" w:rsidRPr="00F660E2" w:rsidRDefault="00F660E2" w:rsidP="00F660E2">
      <w:pPr>
        <w:rPr>
          <w:szCs w:val="28"/>
          <w:lang w:eastAsia="es-PE"/>
        </w:rPr>
      </w:pPr>
      <w:r w:rsidRPr="00F660E2">
        <w:rPr>
          <w:szCs w:val="28"/>
          <w:lang w:eastAsia="es-PE"/>
        </w:rPr>
        <w:t>At Leipzig Luther articulated clearly that popes, councils and theologians were all subject to error, leaving Scripture as the supreme authority in all theological matters.</w:t>
      </w:r>
    </w:p>
    <w:p w:rsidR="00F660E2" w:rsidRPr="00F660E2" w:rsidRDefault="00F660E2" w:rsidP="00F660E2">
      <w:pPr>
        <w:rPr>
          <w:szCs w:val="28"/>
          <w:lang w:eastAsia="es-PE"/>
        </w:rPr>
      </w:pPr>
      <w:r w:rsidRPr="00F660E2">
        <w:rPr>
          <w:szCs w:val="28"/>
          <w:lang w:eastAsia="es-PE"/>
        </w:rPr>
        <w:t>This became the turning point in Luther’s career.</w:t>
      </w:r>
      <w:r w:rsidRPr="00F660E2">
        <w:rPr>
          <w:szCs w:val="28"/>
          <w:vertAlign w:val="superscript"/>
          <w:lang w:eastAsia="es-PE"/>
        </w:rPr>
        <w:t xml:space="preserve"> </w:t>
      </w:r>
      <w:r w:rsidRPr="00F660E2">
        <w:rPr>
          <w:szCs w:val="28"/>
          <w:vertAlign w:val="superscript"/>
          <w:lang w:val="es-PE" w:eastAsia="es-PE"/>
        </w:rPr>
        <w:footnoteReference w:id="25"/>
      </w:r>
      <w:r w:rsidRPr="00F660E2">
        <w:rPr>
          <w:szCs w:val="28"/>
          <w:vertAlign w:val="superscript"/>
          <w:lang w:eastAsia="es-PE"/>
        </w:rPr>
        <w:t xml:space="preserve"> </w:t>
      </w:r>
      <w:r w:rsidRPr="00F660E2">
        <w:rPr>
          <w:szCs w:val="28"/>
          <w:lang w:eastAsia="es-PE"/>
        </w:rPr>
        <w:t>The debate had in fact turned secular in many respects. Students from Wittenberg came armed with staffs to protect Luther and his allies, while Duke George of Saxony who sponsored the debate sent an armed guard to preserve order.</w:t>
      </w:r>
    </w:p>
    <w:p w:rsidR="00F660E2" w:rsidRPr="00F660E2" w:rsidRDefault="00F660E2" w:rsidP="00F660E2">
      <w:pPr>
        <w:rPr>
          <w:szCs w:val="28"/>
          <w:lang w:eastAsia="es-PE"/>
        </w:rPr>
      </w:pPr>
      <w:r w:rsidRPr="00F660E2">
        <w:rPr>
          <w:szCs w:val="28"/>
          <w:lang w:eastAsia="es-PE"/>
        </w:rPr>
        <w:t>“The year that followed,” Lyndal Roper, one of Luther’s most sympathetic and complete biographers, wrote, “the Leipzig Debate was the most intellectually creative period in Luther’s life.”</w:t>
      </w:r>
      <w:r w:rsidRPr="00F660E2">
        <w:rPr>
          <w:szCs w:val="28"/>
          <w:vertAlign w:val="superscript"/>
          <w:lang w:val="es-PE" w:eastAsia="es-PE"/>
        </w:rPr>
        <w:footnoteReference w:id="26"/>
      </w:r>
      <w:r w:rsidRPr="00F660E2">
        <w:rPr>
          <w:szCs w:val="28"/>
          <w:lang w:eastAsia="es-PE"/>
        </w:rPr>
        <w:t xml:space="preserve"> It was precisely during this period that Luther authored the first—</w:t>
      </w:r>
      <w:r w:rsidRPr="00F660E2">
        <w:rPr>
          <w:i/>
          <w:szCs w:val="28"/>
          <w:lang w:eastAsia="es-PE"/>
        </w:rPr>
        <w:t>Treatise on Good Works--</w:t>
      </w:r>
      <w:r w:rsidRPr="00F660E2">
        <w:rPr>
          <w:szCs w:val="28"/>
          <w:lang w:eastAsia="es-PE"/>
        </w:rPr>
        <w:t xml:space="preserve"> of four major treatises that defined his position. </w:t>
      </w:r>
      <w:r w:rsidRPr="00F660E2">
        <w:rPr>
          <w:i/>
          <w:szCs w:val="28"/>
          <w:lang w:eastAsia="es-PE"/>
        </w:rPr>
        <w:t>To the Christian Nobility of the German Nation</w:t>
      </w:r>
      <w:r w:rsidRPr="00F660E2">
        <w:rPr>
          <w:szCs w:val="28"/>
          <w:lang w:eastAsia="es-PE"/>
        </w:rPr>
        <w:t xml:space="preserve"> was the second. The Leipzig debate which preceded </w:t>
      </w:r>
      <w:r w:rsidRPr="00F660E2">
        <w:rPr>
          <w:i/>
          <w:szCs w:val="28"/>
          <w:lang w:eastAsia="es-PE"/>
        </w:rPr>
        <w:t>To the Christian Nobility</w:t>
      </w:r>
      <w:r w:rsidRPr="00F660E2">
        <w:rPr>
          <w:szCs w:val="28"/>
          <w:lang w:eastAsia="es-PE"/>
        </w:rPr>
        <w:t xml:space="preserve"> reflected the transformation of what had been an academic matter between theologians into “‘the Lutheran matter’ [which] was on everyone’s lips, and it concerned not just the Church but politics, and the relationship between the empire and the papacy.”</w:t>
      </w:r>
      <w:r w:rsidRPr="00F660E2">
        <w:rPr>
          <w:szCs w:val="28"/>
          <w:vertAlign w:val="superscript"/>
          <w:lang w:val="es-PE" w:eastAsia="es-PE"/>
        </w:rPr>
        <w:footnoteReference w:id="27"/>
      </w:r>
      <w:r w:rsidRPr="00F660E2">
        <w:rPr>
          <w:szCs w:val="28"/>
          <w:lang w:eastAsia="es-PE"/>
        </w:rPr>
        <w:t xml:space="preserve"> </w:t>
      </w:r>
    </w:p>
    <w:p w:rsidR="00F660E2" w:rsidRPr="00F660E2" w:rsidRDefault="00F660E2" w:rsidP="00F660E2">
      <w:pPr>
        <w:rPr>
          <w:szCs w:val="28"/>
          <w:lang w:eastAsia="es-PE"/>
        </w:rPr>
      </w:pPr>
      <w:r w:rsidRPr="00F660E2">
        <w:rPr>
          <w:szCs w:val="28"/>
          <w:lang w:eastAsia="es-PE"/>
        </w:rPr>
        <w:t>The third and fourth of these treatises --</w:t>
      </w:r>
      <w:r w:rsidRPr="00F660E2">
        <w:rPr>
          <w:i/>
          <w:szCs w:val="28"/>
          <w:lang w:eastAsia="es-PE"/>
        </w:rPr>
        <w:t>On the Babylonian Captivity of the Church</w:t>
      </w:r>
      <w:r w:rsidRPr="00F660E2">
        <w:rPr>
          <w:szCs w:val="28"/>
          <w:lang w:eastAsia="es-PE"/>
        </w:rPr>
        <w:t xml:space="preserve"> and </w:t>
      </w:r>
      <w:r w:rsidRPr="00F660E2">
        <w:rPr>
          <w:i/>
          <w:szCs w:val="28"/>
          <w:lang w:eastAsia="es-PE"/>
        </w:rPr>
        <w:t>Concerning Christian Liberty</w:t>
      </w:r>
      <w:r w:rsidRPr="00F660E2">
        <w:rPr>
          <w:szCs w:val="28"/>
          <w:lang w:eastAsia="es-PE"/>
        </w:rPr>
        <w:t xml:space="preserve">--are Regimen Books in the Christian Classics series and available through amazon.com online. The </w:t>
      </w:r>
      <w:r w:rsidRPr="00F660E2">
        <w:rPr>
          <w:i/>
          <w:szCs w:val="28"/>
          <w:lang w:eastAsia="es-PE"/>
        </w:rPr>
        <w:t xml:space="preserve">Treatise on Good Works </w:t>
      </w:r>
      <w:r w:rsidRPr="00F660E2">
        <w:rPr>
          <w:szCs w:val="28"/>
          <w:lang w:eastAsia="es-PE"/>
        </w:rPr>
        <w:t>follows below.</w:t>
      </w:r>
    </w:p>
    <w:p w:rsidR="00F660E2" w:rsidRPr="00F660E2" w:rsidRDefault="00F660E2" w:rsidP="00F660E2">
      <w:pPr>
        <w:rPr>
          <w:szCs w:val="28"/>
          <w:lang w:eastAsia="es-PE"/>
        </w:rPr>
      </w:pPr>
    </w:p>
    <w:p w:rsidR="00F660E2" w:rsidRPr="00F660E2" w:rsidRDefault="00F660E2" w:rsidP="00F660E2">
      <w:pPr>
        <w:rPr>
          <w:i/>
          <w:szCs w:val="28"/>
          <w:lang w:eastAsia="es-PE"/>
        </w:rPr>
      </w:pPr>
      <w:r w:rsidRPr="00F660E2">
        <w:rPr>
          <w:i/>
          <w:szCs w:val="28"/>
          <w:lang w:eastAsia="es-PE"/>
        </w:rPr>
        <w:lastRenderedPageBreak/>
        <w:t>Treatise on Good Works</w:t>
      </w:r>
    </w:p>
    <w:p w:rsidR="00F660E2" w:rsidRPr="00F660E2" w:rsidRDefault="00F660E2" w:rsidP="00F660E2">
      <w:pPr>
        <w:rPr>
          <w:szCs w:val="28"/>
          <w:lang w:eastAsia="es-PE"/>
        </w:rPr>
      </w:pPr>
    </w:p>
    <w:p w:rsidR="00F660E2" w:rsidRPr="00F660E2" w:rsidRDefault="00F660E2" w:rsidP="00F660E2">
      <w:pPr>
        <w:rPr>
          <w:szCs w:val="28"/>
          <w:lang w:eastAsia="es-PE"/>
        </w:rPr>
      </w:pPr>
    </w:p>
    <w:p w:rsidR="00F660E2" w:rsidRPr="00F660E2" w:rsidRDefault="00F660E2" w:rsidP="00F660E2">
      <w:pPr>
        <w:rPr>
          <w:szCs w:val="28"/>
          <w:lang w:eastAsia="es-PE"/>
        </w:rPr>
      </w:pPr>
      <w:r w:rsidRPr="00F660E2">
        <w:rPr>
          <w:szCs w:val="28"/>
          <w:lang w:eastAsia="es-PE"/>
        </w:rPr>
        <w:t xml:space="preserve">Luther started this </w:t>
      </w:r>
      <w:r w:rsidRPr="00F660E2">
        <w:rPr>
          <w:i/>
          <w:szCs w:val="28"/>
          <w:lang w:eastAsia="es-PE"/>
        </w:rPr>
        <w:t>Treatise on Good Works</w:t>
      </w:r>
      <w:r w:rsidRPr="00F660E2">
        <w:rPr>
          <w:szCs w:val="28"/>
          <w:lang w:eastAsia="es-PE"/>
        </w:rPr>
        <w:t xml:space="preserve"> sometime in March 1520 and originally meant it to be a sermon. But as so many of us who write, it turned into something longer and although published before his three classic works on his principal criticisms of the church-- </w:t>
      </w:r>
      <w:r w:rsidRPr="00F660E2">
        <w:rPr>
          <w:i/>
          <w:szCs w:val="28"/>
          <w:lang w:eastAsia="es-PE"/>
        </w:rPr>
        <w:t>To the Christian Nobility of the German Nation</w:t>
      </w:r>
      <w:r w:rsidRPr="00F660E2">
        <w:rPr>
          <w:szCs w:val="28"/>
          <w:lang w:eastAsia="es-PE"/>
        </w:rPr>
        <w:t xml:space="preserve">, </w:t>
      </w:r>
      <w:r w:rsidRPr="00F660E2">
        <w:rPr>
          <w:i/>
          <w:szCs w:val="28"/>
          <w:lang w:eastAsia="es-PE"/>
        </w:rPr>
        <w:t>On the Babylonian Captivity of the Church</w:t>
      </w:r>
      <w:r w:rsidRPr="00F660E2">
        <w:rPr>
          <w:szCs w:val="28"/>
          <w:lang w:eastAsia="es-PE"/>
        </w:rPr>
        <w:t xml:space="preserve">, and </w:t>
      </w:r>
      <w:r w:rsidRPr="00F660E2">
        <w:rPr>
          <w:i/>
          <w:szCs w:val="28"/>
          <w:lang w:eastAsia="es-PE"/>
        </w:rPr>
        <w:t>Concerning Christian Liberty</w:t>
      </w:r>
      <w:r w:rsidRPr="00F660E2">
        <w:rPr>
          <w:szCs w:val="28"/>
          <w:lang w:eastAsia="es-PE"/>
        </w:rPr>
        <w:t xml:space="preserve">--the </w:t>
      </w:r>
      <w:r w:rsidRPr="00F660E2">
        <w:rPr>
          <w:i/>
          <w:szCs w:val="28"/>
          <w:lang w:eastAsia="es-PE"/>
        </w:rPr>
        <w:t>Treatise on Good Works</w:t>
      </w:r>
      <w:r w:rsidRPr="00F660E2">
        <w:rPr>
          <w:szCs w:val="28"/>
          <w:lang w:eastAsia="es-PE"/>
        </w:rPr>
        <w:t xml:space="preserve"> falls into the genre of Luther’s early defining body of works, along with his </w:t>
      </w:r>
      <w:r w:rsidRPr="00F660E2">
        <w:rPr>
          <w:i/>
          <w:szCs w:val="28"/>
          <w:lang w:eastAsia="es-PE"/>
        </w:rPr>
        <w:t>Ninety-Five Theses</w:t>
      </w:r>
      <w:r w:rsidRPr="00F660E2">
        <w:rPr>
          <w:szCs w:val="28"/>
          <w:lang w:eastAsia="es-PE"/>
        </w:rPr>
        <w:t>.</w:t>
      </w:r>
    </w:p>
    <w:p w:rsidR="00F660E2" w:rsidRPr="00F660E2" w:rsidRDefault="00F660E2" w:rsidP="00F660E2">
      <w:pPr>
        <w:rPr>
          <w:szCs w:val="28"/>
        </w:rPr>
      </w:pPr>
      <w:r w:rsidRPr="00F660E2">
        <w:rPr>
          <w:szCs w:val="28"/>
          <w:lang w:eastAsia="es-PE"/>
        </w:rPr>
        <w:t xml:space="preserve">His </w:t>
      </w:r>
      <w:r w:rsidRPr="00F660E2">
        <w:rPr>
          <w:i/>
          <w:szCs w:val="28"/>
          <w:lang w:eastAsia="es-PE"/>
        </w:rPr>
        <w:t>Treatise on Good Works</w:t>
      </w:r>
      <w:r w:rsidRPr="00F660E2">
        <w:rPr>
          <w:szCs w:val="28"/>
          <w:lang w:eastAsia="es-PE"/>
        </w:rPr>
        <w:t xml:space="preserve"> remains one of Luther’s clearest and most accessible introductions to his reforming work and theology.</w:t>
      </w:r>
      <w:r w:rsidRPr="00F660E2">
        <w:rPr>
          <w:szCs w:val="28"/>
          <w:vertAlign w:val="superscript"/>
          <w:lang w:eastAsia="es-PE"/>
        </w:rPr>
        <w:footnoteReference w:id="28"/>
      </w:r>
      <w:r w:rsidRPr="00F660E2">
        <w:rPr>
          <w:szCs w:val="28"/>
          <w:lang w:eastAsia="es-PE"/>
        </w:rPr>
        <w:t xml:space="preserve"> Luther’s “main goal was to commend a new, down-to-earth piety to all Christians. This piety was new, because at its center was a radically different meaning of good works that would transform the way believers practiced their faith. That different meaning, it turned out, </w:t>
      </w:r>
      <w:r w:rsidRPr="00F660E2">
        <w:rPr>
          <w:szCs w:val="28"/>
        </w:rPr>
        <w:t>was easy to misunderstand and required a detailed explanation that Luther offered in this ‘small book.’”</w:t>
      </w:r>
    </w:p>
    <w:p w:rsidR="00F660E2" w:rsidRPr="00F660E2" w:rsidRDefault="00F660E2" w:rsidP="00F660E2">
      <w:pPr>
        <w:rPr>
          <w:szCs w:val="28"/>
        </w:rPr>
      </w:pPr>
      <w:r w:rsidRPr="00F660E2">
        <w:rPr>
          <w:szCs w:val="28"/>
        </w:rPr>
        <w:t>In the simplest, and most direct, fashion, “good works” are defined as those things we do to help build and maintain our church, in today’s terms, everything from manning the soup kitchen for the poor to a medical mission trip to, let’s say, Honduras in Central America or Uganda in Africa. In Luther’s time, good works were thought to help influence, form, or contribute to one’s salvation. The equation was simple: do good works and earn salvation. The subject could, and does, get complicated.</w:t>
      </w:r>
    </w:p>
    <w:p w:rsidR="00F660E2" w:rsidRPr="00F660E2" w:rsidRDefault="00F660E2" w:rsidP="00F660E2">
      <w:pPr>
        <w:rPr>
          <w:szCs w:val="28"/>
        </w:rPr>
      </w:pPr>
      <w:r w:rsidRPr="00F660E2">
        <w:rPr>
          <w:szCs w:val="28"/>
        </w:rPr>
        <w:t>In the late medieval times for example, acts of religious devotion and charity could make up for sins committed by believers and thus were considered meritorious for salvation.</w:t>
      </w:r>
    </w:p>
    <w:p w:rsidR="00F660E2" w:rsidRPr="00F660E2" w:rsidRDefault="00F660E2" w:rsidP="00F660E2">
      <w:pPr>
        <w:rPr>
          <w:szCs w:val="28"/>
        </w:rPr>
      </w:pPr>
      <w:r w:rsidRPr="00F660E2">
        <w:rPr>
          <w:szCs w:val="28"/>
        </w:rPr>
        <w:t xml:space="preserve">Luther—always drawing upon Scripture--said, no, no, no. Salvation </w:t>
      </w:r>
      <w:r w:rsidRPr="00F660E2">
        <w:rPr>
          <w:i/>
          <w:szCs w:val="28"/>
        </w:rPr>
        <w:t xml:space="preserve">only </w:t>
      </w:r>
      <w:r w:rsidRPr="00F660E2">
        <w:rPr>
          <w:szCs w:val="28"/>
        </w:rPr>
        <w:t xml:space="preserve">comes through the grace [understood generally as unmerited favor] of God and </w:t>
      </w:r>
      <w:r w:rsidRPr="00F660E2">
        <w:rPr>
          <w:i/>
          <w:szCs w:val="28"/>
        </w:rPr>
        <w:t>cannot</w:t>
      </w:r>
      <w:r w:rsidRPr="00F660E2">
        <w:rPr>
          <w:szCs w:val="28"/>
        </w:rPr>
        <w:t xml:space="preserve"> be earned by good works. And </w:t>
      </w:r>
      <w:r w:rsidRPr="00F660E2">
        <w:rPr>
          <w:szCs w:val="28"/>
        </w:rPr>
        <w:lastRenderedPageBreak/>
        <w:t>the key to our salvation, the conduit if you will, is our faith.  Read Romans 3:28, for example, which Luther often quoted: “For we hold that a person is justified by faith apart from works described by law,” or Ephesians 2: 8-9, “For by grace you have been saved through faith, and this is not your own doing; it is the gift of God—not the result of works, so that no one may boast.”</w:t>
      </w:r>
    </w:p>
    <w:p w:rsidR="00F660E2" w:rsidRPr="00F660E2" w:rsidRDefault="00F660E2" w:rsidP="00F660E2">
      <w:pPr>
        <w:rPr>
          <w:szCs w:val="28"/>
        </w:rPr>
      </w:pPr>
      <w:r w:rsidRPr="00F660E2">
        <w:rPr>
          <w:szCs w:val="28"/>
        </w:rPr>
        <w:t xml:space="preserve">And, finally, once we are saved by God and we recognize our Salvation (sometimes a tricky part of Christian theology that some of the greatest Protestants—like the Puritans who helped found the colonies that later became the United States—struggled with), then we will </w:t>
      </w:r>
      <w:r w:rsidRPr="00F660E2">
        <w:rPr>
          <w:i/>
          <w:szCs w:val="28"/>
        </w:rPr>
        <w:t>want</w:t>
      </w:r>
      <w:r w:rsidRPr="00F660E2">
        <w:rPr>
          <w:szCs w:val="28"/>
        </w:rPr>
        <w:t xml:space="preserve"> to do good works to please God. </w:t>
      </w:r>
    </w:p>
    <w:p w:rsidR="00F660E2" w:rsidRPr="00F660E2" w:rsidRDefault="00F660E2" w:rsidP="00F660E2">
      <w:pPr>
        <w:rPr>
          <w:szCs w:val="28"/>
        </w:rPr>
      </w:pPr>
      <w:r w:rsidRPr="00F660E2">
        <w:rPr>
          <w:szCs w:val="28"/>
        </w:rPr>
        <w:t>Theologians will argue the finer points but that in the main is what Luther set out to explain and exhort: the nature of salvation and its relationship to faith and good works. Many contemporary listeners of Luther’s message exclaimed loudly, for example, well what about prayer, almsgiving and fasting, all which Jesus spoke as good to practice. Weren’t these works? Didn’t they count for anything?</w:t>
      </w:r>
    </w:p>
    <w:p w:rsidR="00F660E2" w:rsidRPr="00F660E2" w:rsidRDefault="00F660E2" w:rsidP="00F660E2">
      <w:pPr>
        <w:rPr>
          <w:szCs w:val="28"/>
        </w:rPr>
      </w:pPr>
      <w:r w:rsidRPr="00F660E2">
        <w:rPr>
          <w:szCs w:val="28"/>
        </w:rPr>
        <w:t xml:space="preserve">Luther responded simply. Of course, these count as works. But they come </w:t>
      </w:r>
      <w:r w:rsidRPr="00F660E2">
        <w:rPr>
          <w:i/>
          <w:szCs w:val="28"/>
        </w:rPr>
        <w:t>after</w:t>
      </w:r>
      <w:r w:rsidRPr="00F660E2">
        <w:rPr>
          <w:szCs w:val="28"/>
        </w:rPr>
        <w:t xml:space="preserve"> salvation which derives from grace through faith. Luther and his followers were quick to denounce some practices as not worthy of works, such as acquiring indulgences, venerating and praying to saints, making pilgrimages to shrines, holding private Masses, requiring clerical celibacy, making binding monastic vows, venerating relics, etc.</w:t>
      </w:r>
    </w:p>
    <w:p w:rsidR="00F660E2" w:rsidRPr="00F660E2" w:rsidRDefault="00F660E2" w:rsidP="00F660E2">
      <w:pPr>
        <w:rPr>
          <w:szCs w:val="28"/>
        </w:rPr>
      </w:pPr>
      <w:r w:rsidRPr="00F660E2">
        <w:rPr>
          <w:szCs w:val="28"/>
        </w:rPr>
        <w:t xml:space="preserve">You can follow Luther’s arguments yourself as you read through the treatise. He spends a good deal of time, for example, on examining the structure and contents of the Ten Commandments. If one obeys the first commandment, “you shall have no other gods,” then that leads to obedience of the remaining commandments, which is a gift and work of the Holy Spirit. </w:t>
      </w:r>
    </w:p>
    <w:p w:rsidR="00F660E2" w:rsidRPr="00F660E2" w:rsidRDefault="00F660E2" w:rsidP="00F660E2">
      <w:pPr>
        <w:rPr>
          <w:szCs w:val="28"/>
          <w:lang w:eastAsia="es-PE"/>
        </w:rPr>
      </w:pPr>
      <w:r w:rsidRPr="00F660E2">
        <w:rPr>
          <w:szCs w:val="28"/>
        </w:rPr>
        <w:t xml:space="preserve">The treatise on good works you have before you was written with the encouragement of Georg Spalatin, the secretary and court chaplain to Elector Frederick III of Saxony, both strong supporters of Luther. Luther wrote it during the growing struggle with Pope Leo X and the papacy’s determination to rein in this rebellious friar. In January 1520, the papacy reopened proceedings against Luther. In May Luther rejected the Pope’s claim to be the vicar of Christ and to rule over the entire church, and in June a papal edict, </w:t>
      </w:r>
      <w:r w:rsidRPr="00F660E2">
        <w:rPr>
          <w:i/>
          <w:szCs w:val="28"/>
        </w:rPr>
        <w:t xml:space="preserve">Exsurge </w:t>
      </w:r>
      <w:r w:rsidRPr="00F660E2">
        <w:rPr>
          <w:i/>
          <w:szCs w:val="28"/>
        </w:rPr>
        <w:lastRenderedPageBreak/>
        <w:t>Domine</w:t>
      </w:r>
      <w:r w:rsidRPr="00F660E2">
        <w:rPr>
          <w:szCs w:val="28"/>
        </w:rPr>
        <w:t xml:space="preserve">, was issued which threatened Luther with excommunication if he did not recant. Amidst this turmoil the treatise on good works was published. It was popular and sold well, eventually translated into English, French, and Dutch. Three more major treatises followed later in 1520, all of which are available in this Christian Classics (Regimen Books) series: </w:t>
      </w:r>
      <w:r w:rsidRPr="00F660E2">
        <w:rPr>
          <w:i/>
          <w:szCs w:val="28"/>
          <w:lang w:eastAsia="es-PE"/>
        </w:rPr>
        <w:t xml:space="preserve">To the Christian Nobility of the German Nation, On the Babylonian Captivity of the Church, </w:t>
      </w:r>
      <w:r w:rsidRPr="00F660E2">
        <w:rPr>
          <w:szCs w:val="28"/>
          <w:lang w:eastAsia="es-PE"/>
        </w:rPr>
        <w:t xml:space="preserve">and </w:t>
      </w:r>
      <w:r w:rsidRPr="00F660E2">
        <w:rPr>
          <w:i/>
          <w:szCs w:val="28"/>
          <w:lang w:eastAsia="es-PE"/>
        </w:rPr>
        <w:t>Concerning Christian Liberty.</w:t>
      </w:r>
      <w:r w:rsidRPr="00F660E2">
        <w:rPr>
          <w:szCs w:val="28"/>
          <w:lang w:eastAsia="es-PE"/>
        </w:rPr>
        <w:t xml:space="preserve"> </w:t>
      </w:r>
    </w:p>
    <w:p w:rsidR="00F660E2" w:rsidRPr="00F660E2" w:rsidRDefault="00F660E2" w:rsidP="00F660E2">
      <w:pPr>
        <w:rPr>
          <w:szCs w:val="28"/>
          <w:lang w:eastAsia="es-PE"/>
        </w:rPr>
      </w:pPr>
      <w:r w:rsidRPr="00F660E2">
        <w:rPr>
          <w:szCs w:val="28"/>
          <w:lang w:eastAsia="es-PE"/>
        </w:rPr>
        <w:t>But Luther was much more than a disruptive and pioneering theologian. He was a human being and as richly engaged with his natural world as with his spiritual world. His life was not eclipsed by theological rhetoric and angry disputation.</w:t>
      </w:r>
    </w:p>
    <w:p w:rsidR="00F660E2" w:rsidRPr="00F660E2" w:rsidRDefault="00F660E2" w:rsidP="00F660E2">
      <w:pPr>
        <w:rPr>
          <w:szCs w:val="28"/>
          <w:lang w:eastAsia="es-PE"/>
        </w:rPr>
      </w:pPr>
      <w:r w:rsidRPr="00F660E2">
        <w:rPr>
          <w:szCs w:val="28"/>
          <w:lang w:eastAsia="es-PE"/>
        </w:rPr>
        <w:t xml:space="preserve"> Luther for example loved music. </w:t>
      </w:r>
    </w:p>
    <w:p w:rsidR="00F660E2" w:rsidRPr="00F660E2" w:rsidRDefault="00F660E2" w:rsidP="00F660E2">
      <w:pPr>
        <w:rPr>
          <w:szCs w:val="28"/>
          <w:lang w:eastAsia="es-PE"/>
        </w:rPr>
      </w:pPr>
      <w:r w:rsidRPr="00F660E2">
        <w:rPr>
          <w:szCs w:val="28"/>
          <w:lang w:eastAsia="es-PE"/>
        </w:rPr>
        <w:t>“Next after theology,” Luther wrote, “I give to music the highest place and the greatest honor.”</w:t>
      </w:r>
      <w:r w:rsidRPr="00F660E2">
        <w:rPr>
          <w:szCs w:val="28"/>
          <w:vertAlign w:val="superscript"/>
          <w:lang w:eastAsia="es-PE"/>
        </w:rPr>
        <w:footnoteReference w:id="29"/>
      </w:r>
      <w:r w:rsidRPr="00F660E2">
        <w:rPr>
          <w:szCs w:val="28"/>
          <w:lang w:eastAsia="es-PE"/>
        </w:rPr>
        <w:t xml:space="preserve"> His hymn “A Mighty Fortress is out God” is one of the most popular hymns in Christian hymnody.</w:t>
      </w:r>
      <w:r w:rsidRPr="00F660E2">
        <w:rPr>
          <w:szCs w:val="28"/>
          <w:vertAlign w:val="superscript"/>
          <w:lang w:eastAsia="es-PE"/>
        </w:rPr>
        <w:footnoteReference w:id="30"/>
      </w:r>
      <w:r w:rsidRPr="00F660E2">
        <w:rPr>
          <w:szCs w:val="28"/>
          <w:lang w:eastAsia="es-PE"/>
        </w:rPr>
        <w:t xml:space="preserve"> He had “no use for cranks who despised music.”</w:t>
      </w:r>
    </w:p>
    <w:p w:rsidR="00F660E2" w:rsidRPr="00F660E2" w:rsidRDefault="00F660E2" w:rsidP="00F660E2">
      <w:pPr>
        <w:rPr>
          <w:szCs w:val="28"/>
          <w:lang w:eastAsia="es-PE"/>
        </w:rPr>
      </w:pPr>
      <w:r w:rsidRPr="00F660E2">
        <w:rPr>
          <w:szCs w:val="28"/>
          <w:lang w:eastAsia="es-PE"/>
        </w:rPr>
        <w:t>In fact, Luther enjoyed life and could be gusty at times. He had a mug with three rings. The first he said represented the Ten Commandments, the second the Apostles Creed, and the third the Lord’s Prayer. The acknowledged founder of the Protestant Reformation was amused that “he could drain a mug of wine through the Lord’s Prayer while a friend could not get beyond the Ten Commandments.”</w:t>
      </w:r>
      <w:r w:rsidRPr="00F660E2">
        <w:rPr>
          <w:szCs w:val="28"/>
          <w:vertAlign w:val="superscript"/>
          <w:lang w:eastAsia="es-PE"/>
        </w:rPr>
        <w:footnoteReference w:id="31"/>
      </w:r>
      <w:r w:rsidRPr="00F660E2">
        <w:rPr>
          <w:szCs w:val="28"/>
          <w:lang w:eastAsia="es-PE"/>
        </w:rPr>
        <w:t xml:space="preserve"> </w:t>
      </w:r>
    </w:p>
    <w:p w:rsidR="00F660E2" w:rsidRPr="00F660E2" w:rsidRDefault="00F660E2" w:rsidP="00F660E2">
      <w:pPr>
        <w:rPr>
          <w:szCs w:val="28"/>
          <w:lang w:eastAsia="es-PE"/>
        </w:rPr>
      </w:pPr>
      <w:r w:rsidRPr="00F660E2">
        <w:rPr>
          <w:szCs w:val="28"/>
          <w:lang w:eastAsia="es-PE"/>
        </w:rPr>
        <w:t xml:space="preserve">Luther eventually married, Katharina von Bora, in 1525. They had six children together and from all the evidence a happy marriage. She was an extraordinary woman in her own right and provided Martin with a wholesome and satisfying home life, moving the life of the Reformer away from the cloister of the Augustinian Order, away from priestly celibacy, and into a celebration and enjoyment of the quotidian cares of marriage and family. </w:t>
      </w:r>
      <w:r w:rsidRPr="00F660E2">
        <w:rPr>
          <w:szCs w:val="28"/>
          <w:vertAlign w:val="superscript"/>
          <w:lang w:eastAsia="es-PE"/>
        </w:rPr>
        <w:footnoteReference w:id="32"/>
      </w:r>
      <w:r w:rsidRPr="00F660E2">
        <w:rPr>
          <w:szCs w:val="28"/>
          <w:lang w:eastAsia="es-PE"/>
        </w:rPr>
        <w:t xml:space="preserve"> He reciprocated the love, and honor and respect she gave him.</w:t>
      </w:r>
    </w:p>
    <w:p w:rsidR="00F660E2" w:rsidRPr="00F660E2" w:rsidRDefault="00F660E2" w:rsidP="00F660E2">
      <w:pPr>
        <w:rPr>
          <w:szCs w:val="28"/>
          <w:lang w:eastAsia="es-PE"/>
        </w:rPr>
      </w:pPr>
      <w:r w:rsidRPr="00F660E2">
        <w:rPr>
          <w:szCs w:val="28"/>
          <w:lang w:eastAsia="es-PE"/>
        </w:rPr>
        <w:t xml:space="preserve">As their family expanded, so did their boarders and students of all stripes. Living in the sixteenth century always brought with it </w:t>
      </w:r>
      <w:r w:rsidRPr="00F660E2">
        <w:rPr>
          <w:szCs w:val="28"/>
          <w:lang w:eastAsia="es-PE"/>
        </w:rPr>
        <w:lastRenderedPageBreak/>
        <w:t>the danger of plagues and illnesses that we today have long ago eliminated with modern medicine. In 1527 a terrible plague struck Wittenberg and virtually all of Luther’s students fled for their lives. Leaders begged Luther to flee as well, but he felt pastors should stay and help the afflicted. And so, he and Katharina, his beloved “Katie,” stayed and took care of the sick and dying.</w:t>
      </w:r>
    </w:p>
    <w:p w:rsidR="00F660E2" w:rsidRPr="00F660E2" w:rsidRDefault="00F660E2" w:rsidP="00F660E2">
      <w:pPr>
        <w:rPr>
          <w:szCs w:val="28"/>
          <w:lang w:eastAsia="es-PE"/>
        </w:rPr>
      </w:pPr>
      <w:r w:rsidRPr="00F660E2">
        <w:rPr>
          <w:szCs w:val="28"/>
          <w:lang w:eastAsia="es-PE"/>
        </w:rPr>
        <w:t xml:space="preserve">Luther’s personality encompassed the deeply theological with the sometimes humorous and colorful life of a man who enjoyed not only his relationship with his God, but also with his surroundings. </w:t>
      </w:r>
    </w:p>
    <w:p w:rsidR="00F660E2" w:rsidRPr="00F660E2" w:rsidRDefault="00F660E2" w:rsidP="00F660E2">
      <w:pPr>
        <w:rPr>
          <w:szCs w:val="28"/>
          <w:lang w:eastAsia="es-PE"/>
        </w:rPr>
      </w:pPr>
      <w:r w:rsidRPr="00F660E2">
        <w:rPr>
          <w:szCs w:val="28"/>
          <w:lang w:eastAsia="es-PE"/>
        </w:rPr>
        <w:t xml:space="preserve">A fellow minister and teacher, Johannes Mathesius lived with Luther’s family in 1540 and Mathesius left us some of Luther’s memorable sayings, </w:t>
      </w:r>
      <w:r w:rsidRPr="00F660E2">
        <w:rPr>
          <w:i/>
          <w:szCs w:val="28"/>
          <w:lang w:eastAsia="es-PE"/>
        </w:rPr>
        <w:t xml:space="preserve">Table Talk </w:t>
      </w:r>
      <w:r w:rsidRPr="00F660E2">
        <w:rPr>
          <w:szCs w:val="28"/>
          <w:lang w:eastAsia="es-PE"/>
        </w:rPr>
        <w:t>(1566) testifying with delicious detail to Luther’s earthy side.</w:t>
      </w:r>
      <w:r w:rsidRPr="00F660E2">
        <w:rPr>
          <w:szCs w:val="28"/>
          <w:vertAlign w:val="superscript"/>
          <w:lang w:eastAsia="es-PE"/>
        </w:rPr>
        <w:footnoteReference w:id="33"/>
      </w:r>
    </w:p>
    <w:p w:rsidR="00F660E2" w:rsidRPr="00F660E2" w:rsidRDefault="00F660E2" w:rsidP="00F660E2">
      <w:pPr>
        <w:rPr>
          <w:szCs w:val="28"/>
          <w:lang w:eastAsia="es-PE"/>
        </w:rPr>
      </w:pPr>
      <w:r w:rsidRPr="00F660E2">
        <w:rPr>
          <w:szCs w:val="28"/>
          <w:lang w:eastAsia="es-PE"/>
        </w:rPr>
        <w:t>On human nature, “human nature is like a drunk peasant. Lift him into the saddle on one side, over he topples on the other side.”</w:t>
      </w:r>
    </w:p>
    <w:p w:rsidR="00F660E2" w:rsidRPr="00F660E2" w:rsidRDefault="00F660E2" w:rsidP="00F660E2">
      <w:pPr>
        <w:rPr>
          <w:szCs w:val="28"/>
          <w:lang w:eastAsia="es-PE"/>
        </w:rPr>
      </w:pPr>
      <w:r w:rsidRPr="00F660E2">
        <w:rPr>
          <w:szCs w:val="28"/>
          <w:lang w:eastAsia="es-PE"/>
        </w:rPr>
        <w:t>On good food and wine. “If our Lord is permitted to create nice large pike and good Rhine wine, presumably I may be allowed to eat and drink.”</w:t>
      </w:r>
    </w:p>
    <w:p w:rsidR="00F660E2" w:rsidRPr="00F660E2" w:rsidRDefault="00F660E2" w:rsidP="00F660E2">
      <w:pPr>
        <w:rPr>
          <w:szCs w:val="28"/>
          <w:lang w:eastAsia="es-PE"/>
        </w:rPr>
      </w:pPr>
      <w:r w:rsidRPr="00F660E2">
        <w:rPr>
          <w:szCs w:val="28"/>
          <w:lang w:eastAsia="es-PE"/>
        </w:rPr>
        <w:t>Always with a gift for communicating simply even deep theological principles, he noted that “the Bible is alive, it speaks to me; it has feet, it runs after me; it has hands; it lays hold of me.”</w:t>
      </w:r>
    </w:p>
    <w:p w:rsidR="00F660E2" w:rsidRPr="00F660E2" w:rsidRDefault="00F660E2" w:rsidP="00F660E2">
      <w:pPr>
        <w:rPr>
          <w:szCs w:val="28"/>
          <w:lang w:eastAsia="es-PE"/>
        </w:rPr>
      </w:pPr>
      <w:r w:rsidRPr="00F660E2">
        <w:rPr>
          <w:szCs w:val="28"/>
          <w:lang w:eastAsia="es-PE"/>
        </w:rPr>
        <w:t>As a man of the people, “when I preach I regard neither doctors nor magistrates…. I have all my eyes on the servant maids and on the children. And if the learned men are not well pleased with what they hear, well, the door is open.”</w:t>
      </w:r>
    </w:p>
    <w:p w:rsidR="00F660E2" w:rsidRPr="00F660E2" w:rsidRDefault="00F660E2" w:rsidP="00F660E2">
      <w:pPr>
        <w:rPr>
          <w:szCs w:val="28"/>
          <w:lang w:eastAsia="es-PE"/>
        </w:rPr>
      </w:pPr>
      <w:r w:rsidRPr="00F660E2">
        <w:rPr>
          <w:szCs w:val="28"/>
          <w:lang w:eastAsia="es-PE"/>
        </w:rPr>
        <w:t>He could use humor with withering cynicism. “What lies there are about [holy] relics? One claims to have a feather from the wing of the angel Gabriel, and the Bishop of Mainz has a flame from Moses’ burning bush. And how does it happen that 18 apostles are buried in Germany when Christ had only 12?”</w:t>
      </w:r>
    </w:p>
    <w:p w:rsidR="00F660E2" w:rsidRPr="00F660E2" w:rsidRDefault="00F660E2" w:rsidP="00F660E2">
      <w:pPr>
        <w:rPr>
          <w:szCs w:val="28"/>
          <w:lang w:eastAsia="es-PE"/>
        </w:rPr>
      </w:pPr>
      <w:r w:rsidRPr="00F660E2">
        <w:rPr>
          <w:szCs w:val="28"/>
          <w:lang w:eastAsia="es-PE"/>
        </w:rPr>
        <w:t xml:space="preserve">Luther was not simply a pioneering and revolutionary theologian. He recognized the value of the relatively new printing press—the Tweet, Facebook, and YouTube of the early sixteenth century—and he switched from writing his earlier pieces in Latin to </w:t>
      </w:r>
      <w:r w:rsidRPr="00F660E2">
        <w:rPr>
          <w:szCs w:val="28"/>
          <w:lang w:eastAsia="es-PE"/>
        </w:rPr>
        <w:lastRenderedPageBreak/>
        <w:t>German, so that between 1500 and 1530, Luther’s writings were responsible for fully one fifth of all works printed in Germany.</w:t>
      </w:r>
      <w:r w:rsidRPr="00F660E2">
        <w:rPr>
          <w:szCs w:val="28"/>
          <w:vertAlign w:val="superscript"/>
          <w:lang w:eastAsia="es-PE"/>
        </w:rPr>
        <w:footnoteReference w:id="34"/>
      </w:r>
    </w:p>
    <w:p w:rsidR="00F660E2" w:rsidRPr="00F660E2" w:rsidRDefault="00F660E2" w:rsidP="00F660E2">
      <w:pPr>
        <w:rPr>
          <w:szCs w:val="28"/>
          <w:lang w:eastAsia="es-PE"/>
        </w:rPr>
      </w:pPr>
      <w:r w:rsidRPr="00F660E2">
        <w:rPr>
          <w:szCs w:val="28"/>
          <w:lang w:eastAsia="es-PE"/>
        </w:rPr>
        <w:t>His attacks on the papacy and the church became even more contentious and disruptive in 1520 and eventually led to his formal excommunication in 1521 at a meeting of the religious and secular leaders (the Imperial Diet) of Germany and the larger Holy Roman Empire at the city of Worms.</w:t>
      </w:r>
    </w:p>
    <w:p w:rsidR="00F660E2" w:rsidRPr="00F660E2" w:rsidRDefault="00F660E2" w:rsidP="00F660E2">
      <w:pPr>
        <w:rPr>
          <w:szCs w:val="28"/>
          <w:lang w:eastAsia="es-PE"/>
        </w:rPr>
      </w:pPr>
      <w:r w:rsidRPr="00F660E2">
        <w:rPr>
          <w:szCs w:val="28"/>
          <w:lang w:eastAsia="es-PE"/>
        </w:rPr>
        <w:t>The Diet was called by the Emperor Charles V, a 21-year-old at the time, who had been proclaimed King Charles 1 of Spain a few years earlier, and only recently elected as Holy Roman Emperor, as Charles V.</w:t>
      </w:r>
    </w:p>
    <w:p w:rsidR="00F660E2" w:rsidRPr="00F660E2" w:rsidRDefault="00F660E2" w:rsidP="00F660E2">
      <w:pPr>
        <w:rPr>
          <w:szCs w:val="28"/>
          <w:lang w:eastAsia="es-PE"/>
        </w:rPr>
      </w:pPr>
      <w:r w:rsidRPr="00F660E2">
        <w:rPr>
          <w:szCs w:val="28"/>
          <w:lang w:eastAsia="es-PE"/>
        </w:rPr>
        <w:t>When called upon to retract or be excommunicated in a gathering of Emperor, cardinals, princes, and nobles, Luther refused.</w:t>
      </w:r>
    </w:p>
    <w:p w:rsidR="00F660E2" w:rsidRPr="00F660E2" w:rsidRDefault="00F660E2" w:rsidP="00F660E2">
      <w:pPr>
        <w:rPr>
          <w:szCs w:val="28"/>
          <w:lang w:eastAsia="es-PE"/>
        </w:rPr>
      </w:pPr>
      <w:r w:rsidRPr="00F660E2">
        <w:rPr>
          <w:szCs w:val="28"/>
          <w:lang w:eastAsia="es-PE"/>
        </w:rPr>
        <w:t>“Here I stand,” he was reported to have said, “may God help me. I can do no other.”</w:t>
      </w:r>
    </w:p>
    <w:p w:rsidR="00F660E2" w:rsidRPr="00F660E2" w:rsidRDefault="00F660E2" w:rsidP="00F660E2">
      <w:pPr>
        <w:rPr>
          <w:szCs w:val="28"/>
          <w:lang w:eastAsia="es-PE"/>
        </w:rPr>
      </w:pPr>
      <w:r w:rsidRPr="00F660E2">
        <w:rPr>
          <w:szCs w:val="28"/>
          <w:lang w:eastAsia="es-PE"/>
        </w:rPr>
        <w:t xml:space="preserve">The Emperor Charles wrote out a condemnation in his own hand, and Luther prepared to die as a martyr, probably burned at the stake. He used the safe-conduct pass issued by the Emperor, fully aware that another radical priest, Jan Hus, had been given some similar guarantee years earlier, only to be executed at the stake in 1415 despite the promise of safety. </w:t>
      </w:r>
    </w:p>
    <w:p w:rsidR="00F660E2" w:rsidRPr="00F660E2" w:rsidRDefault="00F660E2" w:rsidP="00F660E2">
      <w:pPr>
        <w:rPr>
          <w:szCs w:val="28"/>
          <w:lang w:eastAsia="es-PE"/>
        </w:rPr>
      </w:pPr>
      <w:r w:rsidRPr="00F660E2">
        <w:rPr>
          <w:szCs w:val="28"/>
          <w:lang w:eastAsia="es-PE"/>
        </w:rPr>
        <w:t>As Luther fled he was kidnapped, not by his persecutors, but by his protectors, soldiers sent by the Elector of Saxony to see that Luther escaped safely. They took him to Warburg Castle where Luther lived for many months, translating the New Testament into German, one of the most beautiful, moving and influential works in German literature.</w:t>
      </w:r>
    </w:p>
    <w:p w:rsidR="00F660E2" w:rsidRPr="00F660E2" w:rsidRDefault="00F660E2" w:rsidP="00F660E2">
      <w:pPr>
        <w:rPr>
          <w:szCs w:val="28"/>
          <w:lang w:eastAsia="es-PE"/>
        </w:rPr>
      </w:pPr>
      <w:r w:rsidRPr="00F660E2">
        <w:rPr>
          <w:szCs w:val="28"/>
          <w:lang w:eastAsia="es-PE"/>
        </w:rPr>
        <w:t xml:space="preserve">The reformation of the church that Luther had kicked into action with his various tracts and treatises published since 1517, now moved really beyond his control. When peasants, stirred by the new rhetoric of Christian freedom and equality being touted by Luther and other of his adherents, rose in rebellion in 1524, they claimed what they thought was their freedom and liberties due all Christians. In theory, they were right, but in practice, the peasants were crushed (Peasants’ War 1524-1526) by the nobility of Germany. Luther supported the nobility whose support basically </w:t>
      </w:r>
      <w:r w:rsidRPr="00F660E2">
        <w:rPr>
          <w:szCs w:val="28"/>
          <w:lang w:eastAsia="es-PE"/>
        </w:rPr>
        <w:lastRenderedPageBreak/>
        <w:t xml:space="preserve">was crucial to his own life and liberty and that of his reform movement. </w:t>
      </w:r>
    </w:p>
    <w:p w:rsidR="00F660E2" w:rsidRPr="00F660E2" w:rsidRDefault="00F660E2" w:rsidP="00F660E2">
      <w:pPr>
        <w:rPr>
          <w:szCs w:val="28"/>
          <w:lang w:eastAsia="es-PE"/>
        </w:rPr>
      </w:pPr>
      <w:r w:rsidRPr="00F660E2">
        <w:rPr>
          <w:szCs w:val="28"/>
          <w:lang w:eastAsia="es-PE"/>
        </w:rPr>
        <w:t>In 1530 his supporters created the Augsburg Confession which basically confirmed that an unbridgeable break now existed between the Roman Catholic Church and Lutheran Protestantism. Luther “began to build his own church organization with its own liturgies and ceremonies, while the princes who followed him formed an armed pact in their own defense, the League of Schmalkalden. By the time of Luther’s death in 1546, Christianity was divided beyond repair.”</w:t>
      </w:r>
      <w:r w:rsidRPr="00F660E2">
        <w:rPr>
          <w:szCs w:val="28"/>
          <w:vertAlign w:val="superscript"/>
          <w:lang w:eastAsia="es-PE"/>
        </w:rPr>
        <w:footnoteReference w:id="35"/>
      </w:r>
    </w:p>
    <w:p w:rsidR="00F660E2" w:rsidRPr="00F660E2" w:rsidRDefault="00F660E2" w:rsidP="00F660E2">
      <w:pPr>
        <w:rPr>
          <w:szCs w:val="28"/>
          <w:lang w:eastAsia="es-PE"/>
        </w:rPr>
      </w:pPr>
      <w:r w:rsidRPr="00F660E2">
        <w:rPr>
          <w:szCs w:val="28"/>
          <w:lang w:eastAsia="es-PE"/>
        </w:rPr>
        <w:t xml:space="preserve">Luther’s personal card, if they had been around in the early sixteenth century, might have had the slogan, </w:t>
      </w:r>
      <w:r w:rsidRPr="00F660E2">
        <w:rPr>
          <w:i/>
          <w:szCs w:val="28"/>
          <w:lang w:eastAsia="es-PE"/>
        </w:rPr>
        <w:t>Sola scriptura</w:t>
      </w:r>
      <w:r w:rsidRPr="00F660E2">
        <w:rPr>
          <w:szCs w:val="28"/>
          <w:lang w:eastAsia="es-PE"/>
        </w:rPr>
        <w:t xml:space="preserve">, or Scripture alone, inscribed on it. He based his life, here on earth, and in the hereafter, on proclaiming the truth of God, only contained in Scripture and undefiled by man’s additions and accretions. As you proceed to read his treatise on good works, it is good to recall </w:t>
      </w:r>
      <w:r w:rsidRPr="00F660E2">
        <w:rPr>
          <w:i/>
          <w:szCs w:val="28"/>
          <w:lang w:eastAsia="es-PE"/>
        </w:rPr>
        <w:t>Sola scriptura</w:t>
      </w:r>
      <w:r w:rsidRPr="00F660E2">
        <w:rPr>
          <w:szCs w:val="28"/>
          <w:lang w:eastAsia="es-PE"/>
        </w:rPr>
        <w:t>, for it contains the key to understanding the core of Luther’s life and beliefs.</w:t>
      </w:r>
    </w:p>
    <w:p w:rsidR="00F660E2" w:rsidRPr="00F660E2" w:rsidRDefault="00F660E2" w:rsidP="00F660E2">
      <w:pPr>
        <w:rPr>
          <w:szCs w:val="28"/>
        </w:rPr>
      </w:pPr>
    </w:p>
    <w:p w:rsidR="004F27B7" w:rsidRPr="00F660E2" w:rsidRDefault="003926B4" w:rsidP="00F660E2">
      <w:pPr>
        <w:rPr>
          <w:szCs w:val="28"/>
        </w:rPr>
      </w:pPr>
    </w:p>
    <w:sectPr w:rsidR="004F27B7" w:rsidRPr="00F660E2">
      <w:head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26B4" w:rsidRDefault="003926B4" w:rsidP="00F660E2">
      <w:r>
        <w:separator/>
      </w:r>
    </w:p>
  </w:endnote>
  <w:endnote w:type="continuationSeparator" w:id="0">
    <w:p w:rsidR="003926B4" w:rsidRDefault="003926B4" w:rsidP="00F66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tewardCond">
    <w:altName w:val="Calibri"/>
    <w:charset w:val="00"/>
    <w:family w:val="auto"/>
    <w:pitch w:val="variable"/>
    <w:sig w:usb0="00000003" w:usb1="00000000" w:usb2="00000000" w:usb3="00000000" w:csb0="00000001" w:csb1="00000000"/>
  </w:font>
  <w:font w:name="CourierCE">
    <w:altName w:val="Courier New"/>
    <w:panose1 w:val="00000000000000000000"/>
    <w:charset w:val="EE"/>
    <w:family w:val="modern"/>
    <w:notTrueType/>
    <w:pitch w:val="default"/>
    <w:sig w:usb0="00000005" w:usb1="00000000" w:usb2="00000000" w:usb3="00000000" w:csb0="00000002"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26B4" w:rsidRDefault="003926B4" w:rsidP="00F660E2">
      <w:r>
        <w:separator/>
      </w:r>
    </w:p>
  </w:footnote>
  <w:footnote w:type="continuationSeparator" w:id="0">
    <w:p w:rsidR="003926B4" w:rsidRDefault="003926B4" w:rsidP="00F660E2">
      <w:r>
        <w:continuationSeparator/>
      </w:r>
    </w:p>
  </w:footnote>
  <w:footnote w:id="1">
    <w:p w:rsidR="00F660E2" w:rsidRPr="00CC562A" w:rsidRDefault="00F660E2" w:rsidP="00F660E2">
      <w:pPr>
        <w:pStyle w:val="FootnoteText"/>
        <w:ind w:firstLine="187"/>
        <w:contextualSpacing/>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For biographies of Luther, see Roland Bainton, </w:t>
      </w:r>
      <w:r w:rsidRPr="00242C0A">
        <w:rPr>
          <w:rFonts w:ascii="StewardCond" w:hAnsi="StewardCond"/>
          <w:i/>
          <w:sz w:val="16"/>
        </w:rPr>
        <w:t>Here I Stand: A Life of Martin Luther</w:t>
      </w:r>
      <w:r>
        <w:rPr>
          <w:rFonts w:ascii="StewardCond" w:hAnsi="StewardCond"/>
          <w:sz w:val="16"/>
        </w:rPr>
        <w:t xml:space="preserve"> (1950),</w:t>
      </w:r>
      <w:r w:rsidRPr="00242C0A">
        <w:rPr>
          <w:rFonts w:ascii="StewardCond" w:hAnsi="StewardCond"/>
          <w:sz w:val="16"/>
        </w:rPr>
        <w:t xml:space="preserve"> </w:t>
      </w:r>
      <w:r w:rsidRPr="00242C0A">
        <w:rPr>
          <w:rFonts w:ascii="StewardCond" w:hAnsi="StewardCond" w:cs="CourierCE"/>
          <w:sz w:val="16"/>
          <w:szCs w:val="26"/>
        </w:rPr>
        <w:t xml:space="preserve">Julius Köstlin, </w:t>
      </w:r>
      <w:r w:rsidRPr="00242C0A">
        <w:rPr>
          <w:rFonts w:ascii="StewardCond" w:hAnsi="StewardCond" w:cs="CourierCE"/>
          <w:i/>
          <w:sz w:val="16"/>
          <w:szCs w:val="26"/>
        </w:rPr>
        <w:t>The Life of Martin Luther</w:t>
      </w:r>
      <w:r w:rsidRPr="00242C0A">
        <w:rPr>
          <w:rFonts w:ascii="StewardCond" w:hAnsi="StewardCond" w:cs="CourierCE"/>
          <w:sz w:val="16"/>
          <w:szCs w:val="26"/>
        </w:rPr>
        <w:t xml:space="preserve"> (1881), David W. Sloan, ed. (North</w:t>
      </w:r>
      <w:r>
        <w:rPr>
          <w:rFonts w:ascii="StewardCond" w:hAnsi="StewardCond" w:cs="CourierCE"/>
          <w:sz w:val="16"/>
          <w:szCs w:val="26"/>
        </w:rPr>
        <w:t xml:space="preserve">port, Ala.: Vision Press, 2017), and the newest, Lyndal Roper, </w:t>
      </w:r>
      <w:r>
        <w:rPr>
          <w:rFonts w:ascii="StewardCond" w:hAnsi="StewardCond" w:cs="CourierCE"/>
          <w:i/>
          <w:sz w:val="16"/>
          <w:szCs w:val="26"/>
        </w:rPr>
        <w:t>Martin Luther: Renegade and Prophet</w:t>
      </w:r>
      <w:r>
        <w:rPr>
          <w:rFonts w:ascii="StewardCond" w:hAnsi="StewardCond" w:cs="CourierCE"/>
          <w:sz w:val="16"/>
          <w:szCs w:val="26"/>
        </w:rPr>
        <w:t xml:space="preserve"> (New York: Random House, 2017).</w:t>
      </w:r>
    </w:p>
  </w:footnote>
  <w:footnote w:id="2">
    <w:p w:rsidR="00F660E2" w:rsidRPr="007440B6" w:rsidRDefault="00F660E2" w:rsidP="00F660E2">
      <w:pPr>
        <w:pStyle w:val="footnotes"/>
        <w:spacing w:before="0" w:beforeAutospacing="0" w:after="0" w:afterAutospacing="0"/>
        <w:ind w:firstLine="187"/>
        <w:contextualSpacing/>
        <w:jc w:val="both"/>
        <w:rPr>
          <w:rFonts w:ascii="StewardCond" w:hAnsi="StewardCond"/>
          <w:sz w:val="16"/>
          <w:lang w:val="en-US"/>
        </w:rPr>
      </w:pPr>
      <w:r w:rsidRPr="007440B6">
        <w:rPr>
          <w:rStyle w:val="FootnoteReference"/>
          <w:rFonts w:ascii="StewardCond" w:hAnsi="StewardCond"/>
          <w:sz w:val="16"/>
        </w:rPr>
        <w:footnoteRef/>
      </w:r>
      <w:r w:rsidRPr="007440B6">
        <w:rPr>
          <w:rFonts w:ascii="StewardCond" w:hAnsi="StewardCond"/>
          <w:sz w:val="16"/>
          <w:lang w:val="en-US"/>
        </w:rPr>
        <w:t xml:space="preserve"> </w:t>
      </w:r>
      <w:r w:rsidRPr="00242C0A">
        <w:rPr>
          <w:rFonts w:ascii="StewardCond" w:hAnsi="StewardCond"/>
          <w:sz w:val="16"/>
          <w:lang w:val="en-US"/>
        </w:rPr>
        <w:t xml:space="preserve">Frederick III (17 January 1463 – 5 May 1525), also known as Frederick the Wise (German "Friedrich der Weise"), was </w:t>
      </w:r>
      <w:hyperlink r:id="rId1" w:tooltip="Prince-elector" w:history="1">
        <w:r w:rsidRPr="00242C0A">
          <w:rPr>
            <w:rFonts w:ascii="StewardCond" w:hAnsi="StewardCond"/>
            <w:sz w:val="16"/>
            <w:lang w:val="en-US"/>
          </w:rPr>
          <w:t>Elector</w:t>
        </w:r>
      </w:hyperlink>
      <w:r w:rsidRPr="00242C0A">
        <w:rPr>
          <w:rFonts w:ascii="StewardCond" w:hAnsi="StewardCond"/>
          <w:sz w:val="16"/>
          <w:lang w:val="en-US"/>
        </w:rPr>
        <w:t xml:space="preserve"> of </w:t>
      </w:r>
      <w:hyperlink r:id="rId2" w:tooltip="Electorate of Saxony" w:history="1">
        <w:r w:rsidRPr="00242C0A">
          <w:rPr>
            <w:rFonts w:ascii="StewardCond" w:hAnsi="StewardCond"/>
            <w:sz w:val="16"/>
            <w:lang w:val="en-US"/>
          </w:rPr>
          <w:t>Saxony</w:t>
        </w:r>
      </w:hyperlink>
      <w:r w:rsidRPr="00242C0A">
        <w:rPr>
          <w:rFonts w:ascii="StewardCond" w:hAnsi="StewardCond"/>
          <w:sz w:val="16"/>
          <w:lang w:val="en-US"/>
        </w:rPr>
        <w:t xml:space="preserve"> (from the </w:t>
      </w:r>
      <w:hyperlink r:id="rId3" w:tooltip="Wettin (dynasty)" w:history="1">
        <w:r>
          <w:rPr>
            <w:rFonts w:ascii="StewardCond" w:hAnsi="StewardCond"/>
            <w:sz w:val="16"/>
            <w:lang w:val="en-US"/>
          </w:rPr>
          <w:t>House of Wes</w:t>
        </w:r>
        <w:r w:rsidRPr="00242C0A">
          <w:rPr>
            <w:rFonts w:ascii="StewardCond" w:hAnsi="StewardCond"/>
            <w:sz w:val="16"/>
            <w:lang w:val="en-US"/>
          </w:rPr>
          <w:t>tin</w:t>
        </w:r>
      </w:hyperlink>
      <w:r w:rsidRPr="00242C0A">
        <w:rPr>
          <w:rFonts w:ascii="StewardCond" w:hAnsi="StewardCond"/>
          <w:sz w:val="16"/>
          <w:lang w:val="en-US"/>
        </w:rPr>
        <w:t xml:space="preserve">) from 1486-1525. He is notable as being one of the most powerful early defenders of </w:t>
      </w:r>
      <w:hyperlink r:id="rId4" w:tooltip="Martin Luther" w:history="1">
        <w:r w:rsidRPr="00242C0A">
          <w:rPr>
            <w:rFonts w:ascii="StewardCond" w:hAnsi="StewardCond"/>
            <w:sz w:val="16"/>
            <w:lang w:val="en-US"/>
          </w:rPr>
          <w:t>Martin Luther</w:t>
        </w:r>
      </w:hyperlink>
      <w:r w:rsidRPr="00242C0A">
        <w:rPr>
          <w:rFonts w:ascii="StewardCond" w:hAnsi="StewardCond"/>
          <w:sz w:val="16"/>
          <w:lang w:val="en-US"/>
        </w:rPr>
        <w:t>,</w:t>
      </w:r>
      <w:hyperlink r:id="rId5" w:anchor="cite_note-1" w:history="1"/>
      <w:r w:rsidRPr="00242C0A">
        <w:rPr>
          <w:rFonts w:ascii="StewardCond" w:hAnsi="StewardCond"/>
          <w:sz w:val="16"/>
          <w:lang w:val="en-US"/>
        </w:rPr>
        <w:t xml:space="preserve"> </w:t>
      </w:r>
      <w:hyperlink r:id="rId6" w:tooltip="Lutheranism" w:history="1">
        <w:r w:rsidRPr="00242C0A">
          <w:rPr>
            <w:rFonts w:ascii="StewardCond" w:hAnsi="StewardCond"/>
            <w:sz w:val="16"/>
            <w:lang w:val="en-US"/>
          </w:rPr>
          <w:t>Lutheranism</w:t>
        </w:r>
      </w:hyperlink>
      <w:r w:rsidRPr="00242C0A">
        <w:rPr>
          <w:rFonts w:ascii="StewardCond" w:hAnsi="StewardCond"/>
          <w:sz w:val="16"/>
          <w:lang w:val="en-US"/>
        </w:rPr>
        <w:t xml:space="preserve"> and the </w:t>
      </w:r>
      <w:hyperlink r:id="rId7" w:tooltip="Protestant Reformation" w:history="1">
        <w:r w:rsidRPr="00242C0A">
          <w:rPr>
            <w:rFonts w:ascii="StewardCond" w:hAnsi="StewardCond"/>
            <w:sz w:val="16"/>
            <w:lang w:val="en-US"/>
          </w:rPr>
          <w:t>Protestant Reformation</w:t>
        </w:r>
      </w:hyperlink>
      <w:r w:rsidRPr="00242C0A">
        <w:rPr>
          <w:rFonts w:ascii="StewardCond" w:hAnsi="StewardCond"/>
          <w:sz w:val="16"/>
          <w:lang w:val="en-US"/>
        </w:rPr>
        <w:t xml:space="preserve"> although he had little personal contact with Luther himself. From Wikipedia article. Frederick III, Elector of Saxony, </w:t>
      </w:r>
    </w:p>
  </w:footnote>
  <w:footnote w:id="3">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Mostly from Wikipedia article on Luther: https://en.wikipedia.org/wiki/Martin_Luther</w:t>
      </w:r>
    </w:p>
  </w:footnote>
  <w:footnote w:id="4">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Probably from Second World War when another popular sentiment captured the same feeling: there are no atheists in foxholes. High stress and the likelihood of wounds and death in battle often produced “fox hole conversions.”</w:t>
      </w:r>
    </w:p>
  </w:footnote>
  <w:footnote w:id="5">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James M. Kittleson, “The Accidental Revolutionary: In His Quest for Spiritual Peace, Luther Had No Idea He’d Leave His World in Turmoil, “Christian History, Issue 115 Luther Leads the Way, CH celebrates the 500th anniversary of the Reformation, First in a four-part series, pp. 14ff.</w:t>
      </w:r>
    </w:p>
  </w:footnote>
  <w:footnote w:id="6">
    <w:p w:rsidR="00F660E2" w:rsidRPr="00242C0A" w:rsidRDefault="00F660E2" w:rsidP="00F660E2">
      <w:pPr>
        <w:pStyle w:val="footnotes"/>
        <w:spacing w:before="0" w:beforeAutospacing="0" w:after="0" w:afterAutospacing="0"/>
        <w:ind w:firstLine="187"/>
        <w:contextualSpacing/>
        <w:jc w:val="both"/>
        <w:rPr>
          <w:rFonts w:ascii="StewardCond" w:hAnsi="StewardCond"/>
          <w:sz w:val="16"/>
          <w:lang w:val="en-US"/>
        </w:rPr>
      </w:pPr>
      <w:r w:rsidRPr="007440B6">
        <w:rPr>
          <w:rStyle w:val="FootnoteReference"/>
          <w:rFonts w:ascii="StewardCond" w:hAnsi="StewardCond"/>
          <w:sz w:val="16"/>
        </w:rPr>
        <w:footnoteRef/>
      </w:r>
      <w:r w:rsidRPr="00242C0A">
        <w:rPr>
          <w:rFonts w:ascii="StewardCond" w:hAnsi="StewardCond"/>
          <w:sz w:val="16"/>
          <w:lang w:val="en-US"/>
        </w:rPr>
        <w:t xml:space="preserve"> Here following ibid.</w:t>
      </w:r>
    </w:p>
  </w:footnote>
  <w:footnote w:id="7">
    <w:p w:rsidR="00F660E2" w:rsidRPr="007440B6" w:rsidRDefault="00F660E2" w:rsidP="00F660E2">
      <w:pPr>
        <w:pStyle w:val="footnotes"/>
        <w:spacing w:before="0" w:beforeAutospacing="0" w:after="0" w:afterAutospacing="0"/>
        <w:ind w:firstLine="187"/>
        <w:contextualSpacing/>
        <w:jc w:val="both"/>
        <w:rPr>
          <w:rFonts w:ascii="StewardCond" w:hAnsi="StewardCond"/>
          <w:sz w:val="16"/>
          <w:lang w:val="en-US"/>
        </w:rPr>
      </w:pPr>
      <w:r w:rsidRPr="007440B6">
        <w:rPr>
          <w:rStyle w:val="FootnoteReference"/>
          <w:rFonts w:ascii="StewardCond" w:hAnsi="StewardCond"/>
          <w:sz w:val="16"/>
        </w:rPr>
        <w:footnoteRef/>
      </w:r>
      <w:r w:rsidRPr="00242C0A">
        <w:rPr>
          <w:rFonts w:ascii="StewardCond" w:hAnsi="StewardCond"/>
          <w:sz w:val="16"/>
          <w:lang w:val="en-US"/>
        </w:rPr>
        <w:t xml:space="preserve"> From christianitytoday.com, “The Pressure to be Justified by David Zahl” (posted December 30, 2016). Zahl is the executive director of Mockingbird Minis-tries (mbird.com) and co-author of </w:t>
      </w:r>
      <w:r w:rsidRPr="00242C0A">
        <w:rPr>
          <w:rFonts w:ascii="StewardCond" w:hAnsi="StewardCond"/>
          <w:i/>
          <w:sz w:val="16"/>
          <w:lang w:val="en-US"/>
        </w:rPr>
        <w:t>Law and Gospel: A Theology for Sinners (and Saints).</w:t>
      </w:r>
    </w:p>
  </w:footnote>
  <w:footnote w:id="8">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Kittleson, “The Accidental Revolutionary,” 15-17.</w:t>
      </w:r>
    </w:p>
  </w:footnote>
  <w:footnote w:id="9">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p>
  </w:footnote>
  <w:footnote w:id="10">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r w:rsidRPr="00242C0A">
        <w:rPr>
          <w:rFonts w:ascii="StewardCond" w:hAnsi="StewardCond"/>
          <w:i/>
          <w:sz w:val="16"/>
        </w:rPr>
        <w:t>.</w:t>
      </w:r>
    </w:p>
  </w:footnote>
  <w:footnote w:id="11">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p>
  </w:footnote>
  <w:footnote w:id="12">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https://en.wikipedia.org/wiki/Purgatory</w:t>
      </w:r>
    </w:p>
  </w:footnote>
  <w:footnote w:id="13">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Bruce Gordon, “Reading the Reformation in 2017, </w:t>
      </w:r>
      <w:r w:rsidRPr="00242C0A">
        <w:rPr>
          <w:rFonts w:ascii="StewardCond" w:hAnsi="StewardCond"/>
          <w:i/>
          <w:sz w:val="16"/>
        </w:rPr>
        <w:t>Christianity Today</w:t>
      </w:r>
      <w:r w:rsidRPr="00242C0A">
        <w:rPr>
          <w:rFonts w:ascii="StewardCond" w:hAnsi="StewardCond"/>
          <w:sz w:val="16"/>
        </w:rPr>
        <w:t>, posted online December 30, 2016. An excellent analysis of standard and revisionist studies of Luther, his contemporaries, and his times. Gordon is Professor of Ecclesiastical History at Yale and the author of John Calvin’s “Institutes of the Christian Religions’: A Biography (Princeton University Press). See also “Luther Meets with Cajetan at Augsburg” in website Reformation 500, http://reformation500.csl.edu/timeline/luther-meets-with-cajetan-at-augsburg/</w:t>
      </w:r>
    </w:p>
  </w:footnote>
  <w:footnote w:id="14">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p>
  </w:footnote>
  <w:footnote w:id="15">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Kittleson, “The Accidental Revolutionary,” 17.</w:t>
      </w:r>
    </w:p>
  </w:footnote>
  <w:footnote w:id="16">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“Luther Meets with Cajetan at Augsburg,”</w:t>
      </w:r>
    </w:p>
  </w:footnote>
  <w:footnote w:id="17">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Most of the following three pages describing the Augsburg meeting taken from https://www.ccel.org/ccel/schaff/hcc7.ii.iii.vi.html the Christian Classics Ethereal Library. Quotation marks left off so as not to interrupt the continuity of the narrative.</w:t>
      </w:r>
    </w:p>
  </w:footnote>
  <w:footnote w:id="18">
    <w:p w:rsidR="00F660E2" w:rsidRPr="00242C0A" w:rsidRDefault="00F660E2" w:rsidP="00F660E2">
      <w:pPr>
        <w:pStyle w:val="footnotes"/>
        <w:spacing w:before="0" w:beforeAutospacing="0" w:after="0" w:afterAutospacing="0"/>
        <w:ind w:firstLine="187"/>
        <w:contextualSpacing/>
        <w:jc w:val="both"/>
        <w:rPr>
          <w:rFonts w:ascii="StewardCond" w:hAnsi="StewardCond"/>
          <w:sz w:val="16"/>
          <w:lang w:val="en-US"/>
        </w:rPr>
      </w:pPr>
      <w:r w:rsidRPr="007440B6">
        <w:rPr>
          <w:rStyle w:val="FootnoteReference"/>
          <w:rFonts w:ascii="StewardCond" w:hAnsi="StewardCond"/>
          <w:sz w:val="16"/>
        </w:rPr>
        <w:footnoteRef/>
      </w:r>
      <w:r w:rsidRPr="007440B6">
        <w:rPr>
          <w:rFonts w:ascii="StewardCond" w:hAnsi="StewardCond"/>
          <w:sz w:val="16"/>
          <w:lang w:val="en-US"/>
        </w:rPr>
        <w:t xml:space="preserve"> </w:t>
      </w:r>
      <w:r w:rsidRPr="00242C0A">
        <w:rPr>
          <w:rFonts w:ascii="StewardCond" w:hAnsi="StewardCond"/>
          <w:sz w:val="16"/>
          <w:lang w:val="en-US"/>
        </w:rPr>
        <w:t>The transactions at Augsburg were published by Luther in December 1518. From https://www.ccel.org/ccel/schaff/hcc7.ii.iii.vi.html Christian Classics Ethereal Library, History of the Christian Church, Volume VII. Modern Christianity. The German Reformation.</w:t>
      </w:r>
    </w:p>
  </w:footnote>
  <w:footnote w:id="19">
    <w:p w:rsidR="00F660E2" w:rsidRPr="00242C0A" w:rsidRDefault="00F660E2" w:rsidP="00F660E2">
      <w:pPr>
        <w:pStyle w:val="footnotes"/>
        <w:spacing w:before="0" w:beforeAutospacing="0" w:after="0" w:afterAutospacing="0"/>
        <w:ind w:firstLine="187"/>
        <w:contextualSpacing/>
        <w:jc w:val="both"/>
        <w:rPr>
          <w:rFonts w:ascii="StewardCond" w:hAnsi="StewardCond"/>
          <w:sz w:val="16"/>
          <w:lang w:val="en-US"/>
        </w:rPr>
      </w:pPr>
      <w:r w:rsidRPr="007440B6">
        <w:rPr>
          <w:rStyle w:val="FootnoteReference"/>
          <w:rFonts w:ascii="StewardCond" w:hAnsi="StewardCond"/>
          <w:sz w:val="16"/>
        </w:rPr>
        <w:footnoteRef/>
      </w:r>
      <w:r w:rsidRPr="00242C0A">
        <w:rPr>
          <w:rFonts w:ascii="StewardCond" w:hAnsi="StewardCond"/>
          <w:sz w:val="16"/>
          <w:lang w:val="en-US"/>
        </w:rPr>
        <w:t xml:space="preserve"> Herostratus a famed arsonist from 4th-century BC Greece. Gained a lot of notoriety by setting the Temple of Artemis on fire.</w:t>
      </w:r>
    </w:p>
  </w:footnote>
  <w:footnote w:id="20">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From Christian Classics Ethereal Library, https://www.ccel.org/ccel/schaff/hcc7.ii.iii.vi.html</w:t>
      </w:r>
    </w:p>
  </w:footnote>
  <w:footnote w:id="21">
    <w:p w:rsidR="00F660E2" w:rsidRPr="00242C0A" w:rsidRDefault="00F660E2" w:rsidP="00F660E2">
      <w:pPr>
        <w:ind w:firstLine="187"/>
        <w:rPr>
          <w:rFonts w:ascii="StewardCond" w:hAnsi="StewardCond"/>
          <w:color w:val="000000"/>
          <w:sz w:val="16"/>
        </w:rPr>
      </w:pPr>
      <w:r w:rsidRPr="007440B6">
        <w:rPr>
          <w:rStyle w:val="FootnoteReference"/>
          <w:rFonts w:ascii="StewardCond" w:hAnsi="StewardCond"/>
          <w:sz w:val="16"/>
        </w:rPr>
        <w:footnoteRef/>
      </w:r>
      <w:r w:rsidRPr="00242C0A">
        <w:rPr>
          <w:rFonts w:ascii="StewardCond" w:hAnsi="StewardCond"/>
          <w:sz w:val="16"/>
        </w:rPr>
        <w:t xml:space="preserve"> </w:t>
      </w:r>
      <w:r w:rsidRPr="00242C0A">
        <w:rPr>
          <w:rFonts w:ascii="StewardCond" w:hAnsi="StewardCond"/>
          <w:color w:val="000000"/>
          <w:sz w:val="16"/>
        </w:rPr>
        <w:t xml:space="preserve">Kittleson does a good job of summarizing the state of affairs —  dynamic and changing fast —  in the summer of 1519 in his article “The Accidental Revolutionary: In His Quest for Spiritual Peace, Luther Had No Idea He’d Leave His World in Turmoil,” in </w:t>
      </w:r>
      <w:r w:rsidRPr="00242C0A">
        <w:rPr>
          <w:rFonts w:ascii="StewardCond" w:hAnsi="StewardCond"/>
          <w:i/>
          <w:color w:val="000000"/>
          <w:sz w:val="16"/>
        </w:rPr>
        <w:t>Christian History</w:t>
      </w:r>
      <w:r w:rsidRPr="00242C0A">
        <w:rPr>
          <w:rFonts w:ascii="StewardCond" w:hAnsi="StewardCond"/>
          <w:color w:val="000000"/>
          <w:sz w:val="16"/>
        </w:rPr>
        <w:t>, https://www.christianhistoryinstitute.org/uploaded/564158eb19f006.65831545.pdf page 17.</w:t>
      </w:r>
    </w:p>
  </w:footnote>
  <w:footnote w:id="22">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p>
  </w:footnote>
  <w:footnote w:id="23">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The most thorough and clearly written piece on the Leipzig Debate is Chapter 6, “The Leipzig Debate,” 112-132, in Lyndal Roper’s magisterial biography </w:t>
      </w:r>
      <w:r w:rsidRPr="00242C0A">
        <w:rPr>
          <w:rFonts w:ascii="StewardCond" w:hAnsi="StewardCond"/>
          <w:i/>
          <w:sz w:val="16"/>
        </w:rPr>
        <w:t>Martin Luther: Renegade and Prophet</w:t>
      </w:r>
      <w:r w:rsidRPr="00242C0A">
        <w:rPr>
          <w:rFonts w:ascii="StewardCond" w:hAnsi="StewardCond"/>
          <w:sz w:val="16"/>
        </w:rPr>
        <w:t xml:space="preserve"> (New York: Random House, 2017).</w:t>
      </w:r>
    </w:p>
  </w:footnote>
  <w:footnote w:id="24">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w:t>
      </w:r>
      <w:r>
        <w:rPr>
          <w:rFonts w:ascii="StewardCond" w:hAnsi="StewardCond"/>
          <w:sz w:val="16"/>
        </w:rPr>
        <w:t>Ro</w:t>
      </w:r>
      <w:r w:rsidRPr="00242C0A">
        <w:rPr>
          <w:rFonts w:ascii="StewardCond" w:hAnsi="StewardCond"/>
          <w:sz w:val="16"/>
        </w:rPr>
        <w:t xml:space="preserve">per, </w:t>
      </w:r>
      <w:r w:rsidRPr="00242C0A">
        <w:rPr>
          <w:rFonts w:ascii="StewardCond" w:hAnsi="StewardCond"/>
          <w:i/>
          <w:sz w:val="16"/>
        </w:rPr>
        <w:t>Luther</w:t>
      </w:r>
      <w:r w:rsidRPr="00242C0A">
        <w:rPr>
          <w:rFonts w:ascii="StewardCond" w:hAnsi="StewardCond"/>
          <w:sz w:val="16"/>
        </w:rPr>
        <w:t>, 120ff.</w:t>
      </w:r>
    </w:p>
  </w:footnote>
  <w:footnote w:id="25">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This, and next two paragraphs from Reformation 500, website, http://reformation500.csl.edu/timeline/leipzig-debate/, maintained by Reformation 500. See “A Note on Sources” below for more information.</w:t>
      </w:r>
    </w:p>
  </w:footnote>
  <w:footnote w:id="26">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Roper, </w:t>
      </w:r>
      <w:r w:rsidRPr="00242C0A">
        <w:rPr>
          <w:rFonts w:ascii="StewardCond" w:hAnsi="StewardCond"/>
          <w:i/>
          <w:sz w:val="16"/>
        </w:rPr>
        <w:t>Luther</w:t>
      </w:r>
      <w:r w:rsidRPr="00242C0A">
        <w:rPr>
          <w:rFonts w:ascii="StewardCond" w:hAnsi="StewardCond"/>
          <w:sz w:val="16"/>
        </w:rPr>
        <w:t>, 133.</w:t>
      </w:r>
    </w:p>
  </w:footnote>
  <w:footnote w:id="27">
    <w:p w:rsidR="00F660E2" w:rsidRPr="00242C0A" w:rsidRDefault="00F660E2" w:rsidP="00F660E2">
      <w:pPr>
        <w:pStyle w:val="FootnoteText"/>
        <w:ind w:firstLine="187"/>
        <w:contextualSpacing/>
        <w:jc w:val="both"/>
        <w:rPr>
          <w:rFonts w:ascii="StewardCond" w:hAnsi="StewardCond"/>
          <w:sz w:val="16"/>
        </w:rPr>
      </w:pPr>
      <w:r w:rsidRPr="007440B6">
        <w:rPr>
          <w:rStyle w:val="FootnoteReference"/>
          <w:rFonts w:ascii="StewardCond" w:hAnsi="StewardCond"/>
          <w:sz w:val="16"/>
        </w:rPr>
        <w:footnoteRef/>
      </w:r>
      <w:r w:rsidRPr="00242C0A">
        <w:rPr>
          <w:rFonts w:ascii="StewardCond" w:hAnsi="StewardCond"/>
          <w:sz w:val="16"/>
        </w:rPr>
        <w:t xml:space="preserve"> Ibid.</w:t>
      </w:r>
    </w:p>
  </w:footnote>
  <w:footnote w:id="28">
    <w:p w:rsidR="00F660E2" w:rsidRPr="00DA10FA" w:rsidRDefault="00F660E2" w:rsidP="00F660E2">
      <w:pPr>
        <w:pStyle w:val="footnotes"/>
        <w:rPr>
          <w:lang w:val="en-US"/>
        </w:rPr>
      </w:pPr>
      <w:r>
        <w:rPr>
          <w:rStyle w:val="FootnoteReference"/>
        </w:rPr>
        <w:footnoteRef/>
      </w:r>
      <w:r w:rsidRPr="00B07003">
        <w:rPr>
          <w:lang w:val="en-US"/>
        </w:rPr>
        <w:t xml:space="preserve"> This, and following narrative on</w:t>
      </w:r>
      <w:r>
        <w:rPr>
          <w:lang w:val="en-US"/>
        </w:rPr>
        <w:t xml:space="preserve"> Luther, drawn principally from</w:t>
      </w:r>
      <w:r w:rsidRPr="00B07003">
        <w:rPr>
          <w:lang w:val="en-US"/>
        </w:rPr>
        <w:t xml:space="preserve"> a revision of the “Translator’s Introduction” by Scott Hendrix, in </w:t>
      </w:r>
      <w:r w:rsidRPr="00B07003">
        <w:rPr>
          <w:i/>
          <w:lang w:val="en-US"/>
        </w:rPr>
        <w:t>Martin Luther, Treatise on Good Works</w:t>
      </w:r>
      <w:r w:rsidRPr="00B07003">
        <w:rPr>
          <w:lang w:val="en-US"/>
        </w:rPr>
        <w:t xml:space="preserve">, trans. </w:t>
      </w:r>
      <w:r w:rsidRPr="00EA4D8C">
        <w:rPr>
          <w:lang w:val="en-US"/>
        </w:rPr>
        <w:t xml:space="preserve">Scott Hendrix (Minneapolis: Fortress Press, 2012), 2–11. </w:t>
      </w:r>
      <w:r w:rsidRPr="00B30403">
        <w:rPr>
          <w:lang w:val="en-US"/>
        </w:rPr>
        <w:t>The translation that follows is also a revision of the work by Hendrix.</w:t>
      </w:r>
      <w:r w:rsidRPr="00B30403">
        <w:rPr>
          <w:rFonts w:ascii="Cambria" w:hAnsi="Cambria"/>
          <w:lang w:val="en-US"/>
        </w:rPr>
        <w:t xml:space="preserve"> </w:t>
      </w:r>
      <w:r w:rsidRPr="00DA10FA">
        <w:rPr>
          <w:rFonts w:ascii="Cambria" w:hAnsi="Cambria"/>
          <w:lang w:val="en-US"/>
        </w:rPr>
        <w:t>Timothy J. Wengert authored these revisions to Hendrix’s work.</w:t>
      </w:r>
    </w:p>
    <w:p w:rsidR="00F660E2" w:rsidRDefault="00F660E2" w:rsidP="00F660E2">
      <w:pPr>
        <w:pStyle w:val="FootnoteText"/>
      </w:pPr>
    </w:p>
  </w:footnote>
  <w:footnote w:id="29">
    <w:p w:rsidR="00F660E2" w:rsidRPr="000F5D5F" w:rsidRDefault="00F660E2" w:rsidP="00F660E2">
      <w:pPr>
        <w:pStyle w:val="FootnoteText"/>
      </w:pPr>
      <w:r>
        <w:rPr>
          <w:rStyle w:val="FootnoteReference"/>
        </w:rPr>
        <w:footnoteRef/>
      </w:r>
      <w:r w:rsidRPr="000F5D5F">
        <w:t xml:space="preserve"> </w:t>
      </w:r>
      <w:r>
        <w:t xml:space="preserve">From an article “Did You Know” adapted from items written or collected by Herbert Jacobsen, Mark Galli, and Mary Ann Jeffreys for </w:t>
      </w:r>
      <w:r>
        <w:rPr>
          <w:i/>
        </w:rPr>
        <w:t>Christian History</w:t>
      </w:r>
      <w:r>
        <w:t xml:space="preserve"> issues 34 and 39. </w:t>
      </w:r>
    </w:p>
  </w:footnote>
  <w:footnote w:id="30">
    <w:p w:rsidR="00F660E2" w:rsidRPr="000F5D5F" w:rsidRDefault="00F660E2" w:rsidP="00F660E2">
      <w:pPr>
        <w:pStyle w:val="FootnoteText"/>
      </w:pPr>
      <w:r>
        <w:rPr>
          <w:rStyle w:val="FootnoteReference"/>
        </w:rPr>
        <w:footnoteRef/>
      </w:r>
      <w:r w:rsidRPr="000F5D5F">
        <w:t xml:space="preserve"> </w:t>
      </w:r>
      <w:r>
        <w:t>I still practice my piano with Luther’s music!</w:t>
      </w:r>
    </w:p>
  </w:footnote>
  <w:footnote w:id="31">
    <w:p w:rsidR="00F660E2" w:rsidRPr="003F68EF" w:rsidRDefault="00F660E2" w:rsidP="00F660E2">
      <w:pPr>
        <w:pStyle w:val="FootnoteText"/>
        <w:rPr>
          <w:i/>
        </w:rPr>
      </w:pPr>
      <w:r>
        <w:rPr>
          <w:rStyle w:val="FootnoteReference"/>
        </w:rPr>
        <w:footnoteRef/>
      </w:r>
      <w:r w:rsidRPr="00DC4CC0">
        <w:t xml:space="preserve"> </w:t>
      </w:r>
      <w:r>
        <w:rPr>
          <w:i/>
        </w:rPr>
        <w:t>Ibid.</w:t>
      </w:r>
    </w:p>
  </w:footnote>
  <w:footnote w:id="32">
    <w:p w:rsidR="00F660E2" w:rsidRPr="00842C1A" w:rsidRDefault="00F660E2" w:rsidP="00F660E2">
      <w:pPr>
        <w:pStyle w:val="FootnoteText"/>
      </w:pPr>
      <w:r>
        <w:rPr>
          <w:rStyle w:val="FootnoteReference"/>
        </w:rPr>
        <w:footnoteRef/>
      </w:r>
      <w:r w:rsidRPr="00842C1A">
        <w:t xml:space="preserve"> </w:t>
      </w:r>
      <w:r>
        <w:t xml:space="preserve">From Katharina von Bora, Wikipedia article, </w:t>
      </w:r>
      <w:hyperlink r:id="rId8" w:history="1">
        <w:r w:rsidRPr="00E13170">
          <w:rPr>
            <w:rStyle w:val="Hyperlink"/>
          </w:rPr>
          <w:t>https://en.wikipedia.org/wiki/Katharina_von_Bora</w:t>
        </w:r>
      </w:hyperlink>
      <w:r>
        <w:t xml:space="preserve"> Accessed 30 July 2017.</w:t>
      </w:r>
    </w:p>
  </w:footnote>
  <w:footnote w:id="33">
    <w:p w:rsidR="00F660E2" w:rsidRPr="004C240B" w:rsidRDefault="00F660E2" w:rsidP="00F660E2">
      <w:pPr>
        <w:pStyle w:val="FootnoteText"/>
      </w:pPr>
      <w:r>
        <w:rPr>
          <w:rStyle w:val="FootnoteReference"/>
        </w:rPr>
        <w:footnoteRef/>
      </w:r>
      <w:r w:rsidRPr="004C240B">
        <w:t xml:space="preserve"> </w:t>
      </w:r>
      <w:r>
        <w:t xml:space="preserve">See for example, Martin Luther, </w:t>
      </w:r>
      <w:r>
        <w:rPr>
          <w:i/>
        </w:rPr>
        <w:t>The Table Talk of Martin Luther</w:t>
      </w:r>
      <w:r>
        <w:t xml:space="preserve">, edited with an introduction by Thomas S. Kepler (first published in 1655, this is an edition by Dover Publications, first published in 2005, which is an unabridged republication of the edition published by The World Publishing Company, New York and Cleveland, 1952). </w:t>
      </w:r>
    </w:p>
  </w:footnote>
  <w:footnote w:id="34">
    <w:p w:rsidR="00F660E2" w:rsidRPr="00600916" w:rsidRDefault="00F660E2" w:rsidP="00F660E2">
      <w:pPr>
        <w:pStyle w:val="FootnoteText"/>
      </w:pPr>
      <w:r>
        <w:rPr>
          <w:rStyle w:val="FootnoteReference"/>
        </w:rPr>
        <w:footnoteRef/>
      </w:r>
      <w:r>
        <w:t xml:space="preserve"> Richard J. Evans, “The Monk Who Shook the World,” in Books, </w:t>
      </w:r>
      <w:r>
        <w:rPr>
          <w:i/>
        </w:rPr>
        <w:t>The Wall Street Journal</w:t>
      </w:r>
      <w:r>
        <w:t>, April 1-2, 2017, pp. C5-C6.</w:t>
      </w:r>
    </w:p>
  </w:footnote>
  <w:footnote w:id="35">
    <w:p w:rsidR="00F660E2" w:rsidRPr="00C475DB" w:rsidRDefault="00F660E2" w:rsidP="00F660E2">
      <w:pPr>
        <w:pStyle w:val="FootnoteText"/>
      </w:pPr>
      <w:r>
        <w:rPr>
          <w:rStyle w:val="FootnoteReference"/>
        </w:rPr>
        <w:footnoteRef/>
      </w:r>
      <w:r>
        <w:t xml:space="preserve"> Evans, “The Monk,” </w:t>
      </w:r>
      <w:r>
        <w:rPr>
          <w:i/>
        </w:rPr>
        <w:t>WSJ</w:t>
      </w:r>
      <w:r>
        <w:t>, April 1-2,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3922520"/>
      <w:docPartObj>
        <w:docPartGallery w:val="Page Numbers (Top of Page)"/>
        <w:docPartUnique/>
      </w:docPartObj>
    </w:sdtPr>
    <w:sdtEndPr>
      <w:rPr>
        <w:noProof/>
      </w:rPr>
    </w:sdtEndPr>
    <w:sdtContent>
      <w:p w:rsidR="00F660E2" w:rsidRDefault="00F660E2">
        <w:pPr>
          <w:pStyle w:val="Header"/>
        </w:pPr>
        <w:r>
          <w:fldChar w:fldCharType="begin"/>
        </w:r>
        <w:r>
          <w:instrText xml:space="preserve"> PAGE   \* MERGEFORMAT </w:instrText>
        </w:r>
        <w:r>
          <w:fldChar w:fldCharType="separate"/>
        </w:r>
        <w:r>
          <w:rPr>
            <w:noProof/>
          </w:rPr>
          <w:t>13</w:t>
        </w:r>
        <w:r>
          <w:rPr>
            <w:noProof/>
          </w:rPr>
          <w:fldChar w:fldCharType="end"/>
        </w:r>
      </w:p>
    </w:sdtContent>
  </w:sdt>
  <w:p w:rsidR="00F660E2" w:rsidRDefault="00F660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0E2"/>
    <w:rsid w:val="00073B5B"/>
    <w:rsid w:val="000A4289"/>
    <w:rsid w:val="00151E65"/>
    <w:rsid w:val="00201941"/>
    <w:rsid w:val="003926B4"/>
    <w:rsid w:val="0045569F"/>
    <w:rsid w:val="0047410F"/>
    <w:rsid w:val="004E1D03"/>
    <w:rsid w:val="0072790F"/>
    <w:rsid w:val="007E0131"/>
    <w:rsid w:val="009666CF"/>
    <w:rsid w:val="00A017FB"/>
    <w:rsid w:val="00A44F80"/>
    <w:rsid w:val="00C31811"/>
    <w:rsid w:val="00DA1573"/>
    <w:rsid w:val="00DB7525"/>
    <w:rsid w:val="00EA5A70"/>
    <w:rsid w:val="00F40C24"/>
    <w:rsid w:val="00F66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1C9A0-E3BF-4B86-934A-DA33D96F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1D03"/>
    <w:pPr>
      <w:spacing w:after="0" w:line="240" w:lineRule="auto"/>
      <w:ind w:firstLine="720"/>
    </w:pPr>
    <w:rPr>
      <w:rFonts w:ascii="Bookman Old Style" w:eastAsiaTheme="minorHAnsi" w:hAnsi="Bookman Old Style" w:cs="Calibr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660E2"/>
    <w:pPr>
      <w:ind w:firstLine="0"/>
    </w:pPr>
    <w:rPr>
      <w:rFonts w:ascii="Cambria" w:hAnsi="Cambria"/>
      <w:sz w:val="20"/>
      <w:szCs w:val="20"/>
    </w:rPr>
  </w:style>
  <w:style w:type="character" w:customStyle="1" w:styleId="FootnoteTextChar">
    <w:name w:val="Footnote Text Char"/>
    <w:basedOn w:val="DefaultParagraphFont"/>
    <w:link w:val="FootnoteText"/>
    <w:uiPriority w:val="99"/>
    <w:semiHidden/>
    <w:rsid w:val="00F660E2"/>
    <w:rPr>
      <w:rFonts w:ascii="Cambria" w:eastAsiaTheme="minorHAnsi" w:hAnsi="Cambria" w:cs="Calibri"/>
      <w:sz w:val="20"/>
      <w:szCs w:val="20"/>
    </w:rPr>
  </w:style>
  <w:style w:type="character" w:styleId="FootnoteReference">
    <w:name w:val="footnote reference"/>
    <w:basedOn w:val="DefaultParagraphFont"/>
    <w:uiPriority w:val="99"/>
    <w:semiHidden/>
    <w:unhideWhenUsed/>
    <w:rsid w:val="00F660E2"/>
    <w:rPr>
      <w:vertAlign w:val="superscript"/>
    </w:rPr>
  </w:style>
  <w:style w:type="paragraph" w:customStyle="1" w:styleId="footnotes">
    <w:name w:val="footnotes"/>
    <w:basedOn w:val="NormalWeb"/>
    <w:qFormat/>
    <w:rsid w:val="00F660E2"/>
    <w:pPr>
      <w:spacing w:before="100" w:beforeAutospacing="1" w:after="100" w:afterAutospacing="1"/>
      <w:ind w:firstLine="0"/>
    </w:pPr>
    <w:rPr>
      <w:rFonts w:ascii="Bookman Old Style" w:eastAsia="Times New Roman" w:hAnsi="Bookman Old Style"/>
      <w:sz w:val="20"/>
      <w:lang w:val="es-PE" w:eastAsia="es-PE"/>
    </w:rPr>
  </w:style>
  <w:style w:type="character" w:styleId="Hyperlink">
    <w:name w:val="Hyperlink"/>
    <w:basedOn w:val="DefaultParagraphFont"/>
    <w:uiPriority w:val="99"/>
    <w:unhideWhenUsed/>
    <w:rsid w:val="00F660E2"/>
    <w:rPr>
      <w:color w:val="0563C1" w:themeColor="hyperlink"/>
      <w:u w:val="single"/>
    </w:rPr>
  </w:style>
  <w:style w:type="paragraph" w:styleId="NormalWeb">
    <w:name w:val="Normal (Web)"/>
    <w:basedOn w:val="Normal"/>
    <w:uiPriority w:val="99"/>
    <w:semiHidden/>
    <w:unhideWhenUsed/>
    <w:rsid w:val="00F660E2"/>
    <w:rPr>
      <w:rFonts w:ascii="Times New Roman" w:hAnsi="Times New Roman" w:cs="Times New Roman"/>
      <w:sz w:val="24"/>
      <w:szCs w:val="24"/>
    </w:rPr>
  </w:style>
  <w:style w:type="paragraph" w:styleId="Header">
    <w:name w:val="header"/>
    <w:basedOn w:val="Normal"/>
    <w:link w:val="HeaderChar"/>
    <w:uiPriority w:val="99"/>
    <w:unhideWhenUsed/>
    <w:rsid w:val="00F660E2"/>
    <w:pPr>
      <w:tabs>
        <w:tab w:val="center" w:pos="4680"/>
        <w:tab w:val="right" w:pos="9360"/>
      </w:tabs>
    </w:pPr>
  </w:style>
  <w:style w:type="character" w:customStyle="1" w:styleId="HeaderChar">
    <w:name w:val="Header Char"/>
    <w:basedOn w:val="DefaultParagraphFont"/>
    <w:link w:val="Header"/>
    <w:uiPriority w:val="99"/>
    <w:rsid w:val="00F660E2"/>
    <w:rPr>
      <w:rFonts w:ascii="Bookman Old Style" w:eastAsiaTheme="minorHAnsi" w:hAnsi="Bookman Old Style" w:cs="Calibri"/>
      <w:sz w:val="28"/>
    </w:rPr>
  </w:style>
  <w:style w:type="paragraph" w:styleId="Footer">
    <w:name w:val="footer"/>
    <w:basedOn w:val="Normal"/>
    <w:link w:val="FooterChar"/>
    <w:uiPriority w:val="99"/>
    <w:unhideWhenUsed/>
    <w:rsid w:val="00F660E2"/>
    <w:pPr>
      <w:tabs>
        <w:tab w:val="center" w:pos="4680"/>
        <w:tab w:val="right" w:pos="9360"/>
      </w:tabs>
    </w:pPr>
  </w:style>
  <w:style w:type="character" w:customStyle="1" w:styleId="FooterChar">
    <w:name w:val="Footer Char"/>
    <w:basedOn w:val="DefaultParagraphFont"/>
    <w:link w:val="Footer"/>
    <w:uiPriority w:val="99"/>
    <w:rsid w:val="00F660E2"/>
    <w:rPr>
      <w:rFonts w:ascii="Bookman Old Style" w:eastAsiaTheme="minorHAnsi" w:hAnsi="Bookman Old Style" w:cs="Calibr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University_of_Erfurt" TargetMode="External"/><Relationship Id="rId13" Type="http://schemas.openxmlformats.org/officeDocument/2006/relationships/hyperlink" Target="https://en.wikipedia.org/wiki/Pilgrimage" TargetMode="External"/><Relationship Id="rId18" Type="http://schemas.openxmlformats.org/officeDocument/2006/relationships/hyperlink" Target="https://en.wikipedia.org/wiki/Sentences" TargetMode="External"/><Relationship Id="rId26" Type="http://schemas.openxmlformats.org/officeDocument/2006/relationships/hyperlink" Target="https://en.wikipedia.org/wiki/Heaven_(Christianity)" TargetMode="External"/><Relationship Id="rId3" Type="http://schemas.openxmlformats.org/officeDocument/2006/relationships/webSettings" Target="webSettings.xml"/><Relationship Id="rId21" Type="http://schemas.openxmlformats.org/officeDocument/2006/relationships/hyperlink" Target="https://en.wikipedia.org/wiki/Vicar" TargetMode="External"/><Relationship Id="rId7" Type="http://schemas.openxmlformats.org/officeDocument/2006/relationships/hyperlink" Target="https://en.wikipedia.org/wiki/Holy_Roman_Empire" TargetMode="External"/><Relationship Id="rId12" Type="http://schemas.openxmlformats.org/officeDocument/2006/relationships/hyperlink" Target="https://en.wikipedia.org/wiki/Prayer" TargetMode="External"/><Relationship Id="rId17" Type="http://schemas.openxmlformats.org/officeDocument/2006/relationships/hyperlink" Target="https://en.wikipedia.org/wiki/Theology" TargetMode="External"/><Relationship Id="rId25" Type="http://schemas.openxmlformats.org/officeDocument/2006/relationships/hyperlink" Target="https://en.wikipedia.org/wiki/Death" TargetMode="External"/><Relationship Id="rId2" Type="http://schemas.openxmlformats.org/officeDocument/2006/relationships/settings" Target="settings.xml"/><Relationship Id="rId16" Type="http://schemas.openxmlformats.org/officeDocument/2006/relationships/hyperlink" Target="https://en.wikipedia.org/wiki/Martin_Luther_University_of_Halle-Wittenberg" TargetMode="External"/><Relationship Id="rId20" Type="http://schemas.openxmlformats.org/officeDocument/2006/relationships/hyperlink" Target="https://en.wikipedia.org/wiki/Doctor_of_Theology"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n.wikipedia.org/wiki/Eisleben" TargetMode="External"/><Relationship Id="rId11" Type="http://schemas.openxmlformats.org/officeDocument/2006/relationships/hyperlink" Target="https://en.wikipedia.org/wiki/Fasting" TargetMode="External"/><Relationship Id="rId24" Type="http://schemas.openxmlformats.org/officeDocument/2006/relationships/hyperlink" Target="https://en.wikipedia.org/wiki/Intermediate_state" TargetMode="External"/><Relationship Id="rId5" Type="http://schemas.openxmlformats.org/officeDocument/2006/relationships/endnotes" Target="endnotes.xml"/><Relationship Id="rId15" Type="http://schemas.openxmlformats.org/officeDocument/2006/relationships/hyperlink" Target="https://en.wikipedia.org/wiki/Johann_von_Staupitz" TargetMode="External"/><Relationship Id="rId23" Type="http://schemas.openxmlformats.org/officeDocument/2006/relationships/hyperlink" Target="https://en.wikipedia.org/wiki/Thuringia" TargetMode="External"/><Relationship Id="rId28" Type="http://schemas.openxmlformats.org/officeDocument/2006/relationships/fontTable" Target="fontTable.xml"/><Relationship Id="rId10" Type="http://schemas.openxmlformats.org/officeDocument/2006/relationships/hyperlink" Target="https://en.wikipedia.org/wiki/Erfurt" TargetMode="External"/><Relationship Id="rId19" Type="http://schemas.openxmlformats.org/officeDocument/2006/relationships/hyperlink" Target="https://en.wikipedia.org/wiki/Peter_Lombard" TargetMode="External"/><Relationship Id="rId4" Type="http://schemas.openxmlformats.org/officeDocument/2006/relationships/footnotes" Target="footnotes.xml"/><Relationship Id="rId9" Type="http://schemas.openxmlformats.org/officeDocument/2006/relationships/hyperlink" Target="https://en.wikipedia.org/wiki/Saint_Anna" TargetMode="External"/><Relationship Id="rId14" Type="http://schemas.openxmlformats.org/officeDocument/2006/relationships/hyperlink" Target="https://en.wikipedia.org/wiki/Confession_(religion)" TargetMode="External"/><Relationship Id="rId22" Type="http://schemas.openxmlformats.org/officeDocument/2006/relationships/hyperlink" Target="https://en.wikipedia.org/wiki/Saxony" TargetMode="External"/><Relationship Id="rId27"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Katharina_von_Bora" TargetMode="External"/><Relationship Id="rId3" Type="http://schemas.openxmlformats.org/officeDocument/2006/relationships/hyperlink" Target="https://en.wikipedia.org/wiki/Wettin_(dynasty)" TargetMode="External"/><Relationship Id="rId7" Type="http://schemas.openxmlformats.org/officeDocument/2006/relationships/hyperlink" Target="https://en.wikipedia.org/wiki/Protestant_Reformation" TargetMode="External"/><Relationship Id="rId2" Type="http://schemas.openxmlformats.org/officeDocument/2006/relationships/hyperlink" Target="https://en.wikipedia.org/wiki/Electorate_of_Saxony" TargetMode="External"/><Relationship Id="rId1" Type="http://schemas.openxmlformats.org/officeDocument/2006/relationships/hyperlink" Target="https://en.wikipedia.org/wiki/Prince-elector" TargetMode="External"/><Relationship Id="rId6" Type="http://schemas.openxmlformats.org/officeDocument/2006/relationships/hyperlink" Target="https://en.wikipedia.org/wiki/Lutheranism" TargetMode="External"/><Relationship Id="rId5" Type="http://schemas.openxmlformats.org/officeDocument/2006/relationships/hyperlink" Target="https://en.wikipedia.org/wiki/Frederick_III,_Elector_of_Saxony" TargetMode="External"/><Relationship Id="rId4" Type="http://schemas.openxmlformats.org/officeDocument/2006/relationships/hyperlink" Target="https://en.wikipedia.org/wiki/Martin_Luth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6314</Words>
  <Characters>35991</Characters>
  <Application>Microsoft Office Word</Application>
  <DocSecurity>0</DocSecurity>
  <Lines>299</Lines>
  <Paragraphs>84</Paragraphs>
  <ScaleCrop>false</ScaleCrop>
  <Company/>
  <LinksUpToDate>false</LinksUpToDate>
  <CharactersWithSpaces>42221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Clayton</dc:creator>
  <cp:keywords/>
  <dc:description/>
  <cp:lastModifiedBy>Lawrence Clayton</cp:lastModifiedBy>
  <cp:revision>1</cp:revision>
  <dcterms:created xsi:type="dcterms:W3CDTF">2017-09-06T18:49:00Z</dcterms:created>
  <dcterms:modified xsi:type="dcterms:W3CDTF">2017-09-06T18:51:00Z</dcterms:modified>
</cp:coreProperties>
</file>